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305FB2">
        <w:rPr>
          <w:rFonts w:ascii="Arial" w:hAnsi="Arial" w:cs="Arial"/>
          <w:sz w:val="24"/>
          <w:szCs w:val="24"/>
        </w:rPr>
        <w:t>3565-1</w:t>
      </w:r>
      <w:r w:rsidR="00FA33D8" w:rsidRPr="00805C59">
        <w:rPr>
          <w:rFonts w:ascii="Arial" w:hAnsi="Arial" w:cs="Arial"/>
          <w:sz w:val="24"/>
          <w:szCs w:val="24"/>
        </w:rPr>
        <w:t>/20</w:t>
      </w:r>
      <w:r w:rsidR="00501D93">
        <w:rPr>
          <w:rFonts w:ascii="Arial" w:hAnsi="Arial" w:cs="Arial"/>
          <w:sz w:val="24"/>
          <w:szCs w:val="24"/>
        </w:rPr>
        <w:t>2</w:t>
      </w:r>
      <w:r w:rsidR="001C11DC">
        <w:rPr>
          <w:rFonts w:ascii="Arial" w:hAnsi="Arial" w:cs="Arial"/>
          <w:sz w:val="24"/>
          <w:szCs w:val="24"/>
        </w:rPr>
        <w:t>2</w:t>
      </w:r>
      <w:r w:rsidR="00FA33D8" w:rsidRPr="00805C59">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w:t>
      </w:r>
      <w:r w:rsidR="00501D93">
        <w:rPr>
          <w:rFonts w:ascii="Arial" w:hAnsi="Arial" w:cs="Arial"/>
          <w:b/>
          <w:sz w:val="24"/>
          <w:szCs w:val="24"/>
        </w:rPr>
        <w:t>2</w:t>
      </w:r>
      <w:r w:rsidR="001C11DC">
        <w:rPr>
          <w:rFonts w:ascii="Arial" w:hAnsi="Arial" w:cs="Arial"/>
          <w:b/>
          <w:sz w:val="24"/>
          <w:szCs w:val="24"/>
        </w:rPr>
        <w:t>2</w:t>
      </w:r>
      <w:r w:rsidR="005349E2">
        <w:rPr>
          <w:rFonts w:ascii="Arial" w:hAnsi="Arial" w:cs="Arial"/>
          <w:b/>
          <w:sz w:val="24"/>
          <w:szCs w:val="24"/>
        </w:rPr>
        <w:t xml:space="preserve">. </w:t>
      </w:r>
      <w:r w:rsidR="001C11DC">
        <w:rPr>
          <w:rFonts w:ascii="Arial" w:hAnsi="Arial" w:cs="Arial"/>
          <w:b/>
          <w:sz w:val="24"/>
          <w:szCs w:val="24"/>
        </w:rPr>
        <w:t xml:space="preserve">március 31-ei </w:t>
      </w:r>
      <w:r w:rsidR="00AC0513">
        <w:rPr>
          <w:rFonts w:ascii="Arial" w:hAnsi="Arial" w:cs="Arial"/>
          <w:b/>
          <w:sz w:val="24"/>
          <w:szCs w:val="24"/>
        </w:rPr>
        <w:t>rendes</w:t>
      </w:r>
      <w:r w:rsidR="00554343">
        <w:rPr>
          <w:rFonts w:ascii="Arial" w:hAnsi="Arial" w:cs="Arial"/>
          <w:b/>
          <w:sz w:val="24"/>
          <w:szCs w:val="24"/>
        </w:rPr>
        <w:t xml:space="preserve"> </w:t>
      </w:r>
      <w:r w:rsidR="00554343" w:rsidRPr="0042251B">
        <w:rPr>
          <w:rFonts w:ascii="Arial" w:hAnsi="Arial" w:cs="Arial"/>
          <w:b/>
          <w:sz w:val="24"/>
          <w:szCs w:val="24"/>
        </w:rPr>
        <w:t>nyilvános</w:t>
      </w:r>
      <w:r w:rsidR="00AC0513">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w:t>
      </w:r>
      <w:r w:rsidR="005349E2">
        <w:rPr>
          <w:rFonts w:ascii="Arial" w:hAnsi="Arial" w:cs="Arial"/>
          <w:sz w:val="24"/>
          <w:szCs w:val="24"/>
        </w:rPr>
        <w:t>2</w:t>
      </w:r>
      <w:r w:rsidR="001C11DC">
        <w:rPr>
          <w:rFonts w:ascii="Arial" w:hAnsi="Arial" w:cs="Arial"/>
          <w:sz w:val="24"/>
          <w:szCs w:val="24"/>
        </w:rPr>
        <w:t>1</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B51EE9">
        <w:rPr>
          <w:rFonts w:ascii="Arial" w:hAnsi="Arial" w:cs="Arial"/>
          <w:sz w:val="24"/>
          <w:szCs w:val="24"/>
        </w:rPr>
        <w:t>Fábiánné Hoffman Márta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Pr>
          <w:rFonts w:ascii="Arial" w:hAnsi="Arial" w:cs="Arial"/>
          <w:sz w:val="24"/>
          <w:szCs w:val="24"/>
        </w:rPr>
        <w:tab/>
        <w:t>Pángerné Toplak Éva idegenforgalmi adóügyintéző</w:t>
      </w:r>
    </w:p>
    <w:p w:rsidR="004E1A45" w:rsidRPr="00416625" w:rsidRDefault="004E1A45" w:rsidP="004E1A45">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igazgatási 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Pr="00F24C05" w:rsidRDefault="001C11DC" w:rsidP="001C11DC">
      <w:pPr>
        <w:tabs>
          <w:tab w:val="left" w:pos="2220"/>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Strausz Nikolett behajtási ügyintéző</w:t>
      </w:r>
    </w:p>
    <w:p w:rsidR="00A101F2" w:rsidRPr="00F24C05" w:rsidRDefault="008415CA" w:rsidP="00867227">
      <w:pPr>
        <w:autoSpaceDE w:val="0"/>
        <w:autoSpaceDN w:val="0"/>
        <w:adjustRightInd w:val="0"/>
        <w:spacing w:after="0" w:line="300" w:lineRule="exact"/>
        <w:ind w:left="2124" w:hanging="2124"/>
        <w:jc w:val="both"/>
        <w:rPr>
          <w:rFonts w:ascii="Arial" w:hAnsi="Arial" w:cs="Arial"/>
          <w:sz w:val="24"/>
          <w:szCs w:val="24"/>
        </w:rPr>
      </w:pPr>
      <w:r w:rsidRPr="00F24C05">
        <w:rPr>
          <w:rFonts w:ascii="Arial" w:hAnsi="Arial" w:cs="Arial"/>
          <w:sz w:val="24"/>
          <w:szCs w:val="24"/>
        </w:rPr>
        <w:tab/>
      </w:r>
    </w:p>
    <w:p w:rsidR="004D4D8B" w:rsidRPr="00F24C05" w:rsidRDefault="00A101F2"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Megtárgyalta:</w:t>
      </w:r>
      <w:r w:rsidRPr="00F24C05">
        <w:rPr>
          <w:rFonts w:ascii="Arial" w:hAnsi="Arial" w:cs="Arial"/>
          <w:sz w:val="24"/>
          <w:szCs w:val="24"/>
        </w:rPr>
        <w:t xml:space="preserve"> </w:t>
      </w:r>
      <w:r w:rsidR="00520498" w:rsidRPr="00F24C05">
        <w:rPr>
          <w:rFonts w:ascii="Arial" w:hAnsi="Arial" w:cs="Arial"/>
          <w:sz w:val="24"/>
          <w:szCs w:val="24"/>
        </w:rPr>
        <w:tab/>
      </w:r>
      <w:r w:rsidR="00B51EE9" w:rsidRPr="00F24C05">
        <w:rPr>
          <w:rFonts w:ascii="Arial" w:hAnsi="Arial" w:cs="Arial"/>
          <w:sz w:val="24"/>
          <w:szCs w:val="24"/>
        </w:rPr>
        <w:t>Pénzügyi, Turisztikai és Városfejlesztési Bizottság</w:t>
      </w:r>
    </w:p>
    <w:p w:rsidR="00AD759D" w:rsidRPr="00F24C05" w:rsidRDefault="00AD759D"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sz w:val="24"/>
          <w:szCs w:val="24"/>
        </w:rPr>
        <w:tab/>
      </w:r>
      <w:r w:rsidRPr="00F24C05">
        <w:rPr>
          <w:rFonts w:ascii="Arial" w:hAnsi="Arial" w:cs="Arial"/>
          <w:sz w:val="24"/>
          <w:szCs w:val="24"/>
        </w:rPr>
        <w:tab/>
      </w:r>
    </w:p>
    <w:p w:rsidR="0020008B" w:rsidRPr="00F24C05" w:rsidRDefault="0020008B" w:rsidP="00867227">
      <w:pPr>
        <w:autoSpaceDE w:val="0"/>
        <w:autoSpaceDN w:val="0"/>
        <w:adjustRightInd w:val="0"/>
        <w:spacing w:after="0" w:line="300" w:lineRule="exact"/>
        <w:jc w:val="both"/>
        <w:rPr>
          <w:rFonts w:ascii="Arial" w:hAnsi="Arial" w:cs="Arial"/>
          <w:sz w:val="24"/>
          <w:szCs w:val="24"/>
        </w:rPr>
      </w:pPr>
    </w:p>
    <w:p w:rsidR="00A101F2" w:rsidRPr="00F24C05" w:rsidRDefault="00A101F2" w:rsidP="0020008B">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Törvényességi szempontból ellenőrizte:</w:t>
      </w:r>
      <w:r w:rsidR="00227CE7" w:rsidRPr="00F24C05">
        <w:rPr>
          <w:rFonts w:ascii="Arial" w:hAnsi="Arial" w:cs="Arial"/>
          <w:b/>
          <w:sz w:val="24"/>
          <w:szCs w:val="24"/>
        </w:rPr>
        <w:t xml:space="preserve"> </w:t>
      </w:r>
      <w:r w:rsidR="003D5C9B" w:rsidRPr="00F24C05">
        <w:rPr>
          <w:rFonts w:ascii="Arial" w:hAnsi="Arial" w:cs="Arial"/>
          <w:sz w:val="24"/>
          <w:szCs w:val="24"/>
        </w:rPr>
        <w:t>d</w:t>
      </w:r>
      <w:r w:rsidR="00227CE7" w:rsidRPr="00F24C05">
        <w:rPr>
          <w:rFonts w:ascii="Arial" w:hAnsi="Arial" w:cs="Arial"/>
          <w:sz w:val="24"/>
          <w:szCs w:val="24"/>
        </w:rPr>
        <w:t>r. Tüske Róbert jegyző</w:t>
      </w:r>
    </w:p>
    <w:p w:rsidR="00A101F2" w:rsidRPr="00F24C05" w:rsidRDefault="00A101F2"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sz w:val="24"/>
          <w:szCs w:val="24"/>
        </w:rPr>
      </w:pPr>
    </w:p>
    <w:p w:rsidR="00BD4BD3" w:rsidRPr="00F24C05" w:rsidRDefault="00BD4BD3"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b/>
          <w:sz w:val="24"/>
          <w:szCs w:val="24"/>
        </w:rPr>
      </w:pPr>
      <w:r w:rsidRPr="00F24C05">
        <w:rPr>
          <w:rFonts w:ascii="Arial" w:hAnsi="Arial" w:cs="Arial"/>
          <w:b/>
          <w:sz w:val="24"/>
          <w:szCs w:val="24"/>
        </w:rPr>
        <w:tab/>
      </w:r>
      <w:r w:rsidRPr="00F24C05">
        <w:rPr>
          <w:rFonts w:ascii="Arial" w:hAnsi="Arial" w:cs="Arial"/>
          <w:b/>
          <w:sz w:val="24"/>
          <w:szCs w:val="24"/>
        </w:rPr>
        <w:tab/>
      </w:r>
    </w:p>
    <w:p w:rsidR="000174EF" w:rsidRPr="00F24C05" w:rsidRDefault="00361BEF" w:rsidP="00BB7DB2">
      <w:pPr>
        <w:tabs>
          <w:tab w:val="center" w:pos="7797"/>
        </w:tabs>
        <w:spacing w:after="0" w:line="240" w:lineRule="auto"/>
        <w:jc w:val="both"/>
        <w:rPr>
          <w:rFonts w:ascii="Arial" w:hAnsi="Arial" w:cs="Arial"/>
          <w:sz w:val="24"/>
          <w:szCs w:val="24"/>
        </w:rPr>
      </w:pPr>
      <w:r w:rsidRPr="00F24C05">
        <w:rPr>
          <w:rFonts w:ascii="Arial" w:hAnsi="Arial" w:cs="Arial"/>
          <w:sz w:val="24"/>
          <w:szCs w:val="24"/>
        </w:rPr>
        <w:tab/>
      </w:r>
      <w:r w:rsidR="003D5C9B" w:rsidRPr="00F24C05">
        <w:rPr>
          <w:rFonts w:ascii="Arial" w:hAnsi="Arial" w:cs="Arial"/>
          <w:sz w:val="24"/>
          <w:szCs w:val="24"/>
        </w:rPr>
        <w:t>d</w:t>
      </w:r>
      <w:r w:rsidR="00BB7DB2" w:rsidRPr="00F24C05">
        <w:rPr>
          <w:rFonts w:ascii="Arial" w:hAnsi="Arial" w:cs="Arial"/>
          <w:sz w:val="24"/>
          <w:szCs w:val="24"/>
        </w:rPr>
        <w:t>r. Tüske Róbert</w:t>
      </w:r>
    </w:p>
    <w:p w:rsidR="00E90B4A" w:rsidRPr="00F24C05" w:rsidRDefault="00BB7DB2" w:rsidP="00BB7DB2">
      <w:pPr>
        <w:tabs>
          <w:tab w:val="left" w:pos="7305"/>
        </w:tabs>
        <w:spacing w:after="0" w:line="240" w:lineRule="auto"/>
        <w:rPr>
          <w:rFonts w:ascii="Arial" w:hAnsi="Arial" w:cs="Arial"/>
          <w:sz w:val="24"/>
          <w:szCs w:val="24"/>
        </w:rPr>
      </w:pPr>
      <w:r w:rsidRPr="00F24C05">
        <w:rPr>
          <w:rFonts w:ascii="Arial" w:hAnsi="Arial" w:cs="Arial"/>
          <w:sz w:val="24"/>
          <w:szCs w:val="24"/>
        </w:rPr>
        <w:tab/>
        <w:t xml:space="preserve"> </w:t>
      </w:r>
      <w:r w:rsidR="00D17D48" w:rsidRPr="00F24C05">
        <w:rPr>
          <w:rFonts w:ascii="Arial" w:hAnsi="Arial" w:cs="Arial"/>
          <w:sz w:val="24"/>
          <w:szCs w:val="24"/>
        </w:rPr>
        <w:t xml:space="preserve"> </w:t>
      </w:r>
      <w:r w:rsidRPr="00F24C05">
        <w:rPr>
          <w:rFonts w:ascii="Arial" w:hAnsi="Arial" w:cs="Arial"/>
          <w:sz w:val="24"/>
          <w:szCs w:val="24"/>
        </w:rPr>
        <w:t>jegyző</w:t>
      </w:r>
    </w:p>
    <w:p w:rsidR="00B12CDF" w:rsidRPr="00F24C05" w:rsidRDefault="00157B65" w:rsidP="00BD4BD3">
      <w:pPr>
        <w:spacing w:after="0" w:line="240" w:lineRule="auto"/>
        <w:rPr>
          <w:rFonts w:ascii="Arial" w:hAnsi="Arial" w:cs="Arial"/>
          <w:sz w:val="24"/>
          <w:szCs w:val="24"/>
        </w:rPr>
      </w:pPr>
      <w:r w:rsidRPr="00F24C05">
        <w:rPr>
          <w:rFonts w:ascii="Arial" w:hAnsi="Arial" w:cs="Arial"/>
          <w:sz w:val="24"/>
          <w:szCs w:val="24"/>
        </w:rPr>
        <w:br w:type="page"/>
      </w:r>
    </w:p>
    <w:p w:rsidR="000174EF" w:rsidRPr="00F24C05" w:rsidRDefault="00AC481D" w:rsidP="00E90B4A">
      <w:pPr>
        <w:spacing w:after="0" w:line="240" w:lineRule="auto"/>
        <w:jc w:val="center"/>
        <w:rPr>
          <w:rFonts w:ascii="Arial" w:hAnsi="Arial" w:cs="Arial"/>
          <w:b/>
          <w:sz w:val="24"/>
          <w:szCs w:val="24"/>
        </w:rPr>
      </w:pPr>
      <w:r w:rsidRPr="00F24C05">
        <w:rPr>
          <w:rFonts w:ascii="Arial" w:hAnsi="Arial" w:cs="Arial"/>
          <w:b/>
          <w:sz w:val="24"/>
          <w:szCs w:val="24"/>
        </w:rPr>
        <w:lastRenderedPageBreak/>
        <w:t>1</w:t>
      </w:r>
      <w:r w:rsidR="00E90B4A" w:rsidRPr="00F24C05">
        <w:rPr>
          <w:rFonts w:ascii="Arial" w:hAnsi="Arial" w:cs="Arial"/>
          <w:b/>
          <w:sz w:val="24"/>
          <w:szCs w:val="24"/>
        </w:rPr>
        <w:t>.</w:t>
      </w:r>
    </w:p>
    <w:p w:rsidR="00E90B4A" w:rsidRPr="00F24C05" w:rsidRDefault="00E90B4A" w:rsidP="00E90B4A">
      <w:pPr>
        <w:spacing w:after="0" w:line="240" w:lineRule="auto"/>
        <w:jc w:val="center"/>
        <w:rPr>
          <w:rFonts w:ascii="Arial" w:hAnsi="Arial" w:cs="Arial"/>
          <w:b/>
          <w:sz w:val="24"/>
          <w:szCs w:val="24"/>
        </w:rPr>
      </w:pPr>
    </w:p>
    <w:p w:rsidR="00E90B4A" w:rsidRPr="00F24C05" w:rsidRDefault="00E90B4A" w:rsidP="00E90B4A">
      <w:pPr>
        <w:spacing w:after="0" w:line="240" w:lineRule="auto"/>
        <w:jc w:val="center"/>
        <w:rPr>
          <w:rFonts w:ascii="Arial" w:hAnsi="Arial" w:cs="Arial"/>
          <w:b/>
          <w:sz w:val="24"/>
          <w:szCs w:val="24"/>
        </w:rPr>
      </w:pPr>
      <w:r w:rsidRPr="00F24C05">
        <w:rPr>
          <w:rFonts w:ascii="Arial" w:hAnsi="Arial" w:cs="Arial"/>
          <w:b/>
          <w:sz w:val="24"/>
          <w:szCs w:val="24"/>
        </w:rPr>
        <w:t>Tárgy és tényállás ismertetése</w:t>
      </w:r>
    </w:p>
    <w:p w:rsidR="006E395B" w:rsidRPr="00524660" w:rsidRDefault="006E395B" w:rsidP="006E395B">
      <w:pPr>
        <w:spacing w:after="0" w:line="240" w:lineRule="auto"/>
        <w:jc w:val="center"/>
        <w:rPr>
          <w:rFonts w:ascii="Arial" w:hAnsi="Arial" w:cs="Arial"/>
          <w:b/>
          <w:color w:val="7030A0"/>
          <w:sz w:val="24"/>
          <w:szCs w:val="24"/>
        </w:rPr>
      </w:pPr>
    </w:p>
    <w:p w:rsidR="006E395B" w:rsidRPr="00524660" w:rsidRDefault="006E395B" w:rsidP="006E395B">
      <w:pPr>
        <w:spacing w:after="0" w:line="240" w:lineRule="auto"/>
        <w:jc w:val="center"/>
        <w:rPr>
          <w:rFonts w:ascii="Arial" w:hAnsi="Arial" w:cs="Arial"/>
          <w:b/>
          <w:color w:val="7030A0"/>
          <w:sz w:val="24"/>
          <w:szCs w:val="24"/>
        </w:rPr>
      </w:pPr>
    </w:p>
    <w:p w:rsidR="006E395B" w:rsidRPr="00C82323" w:rsidRDefault="006E395B" w:rsidP="006E395B">
      <w:pPr>
        <w:spacing w:after="0" w:line="240" w:lineRule="auto"/>
        <w:jc w:val="both"/>
        <w:rPr>
          <w:rFonts w:ascii="Arial" w:hAnsi="Arial" w:cs="Arial"/>
          <w:b/>
        </w:rPr>
      </w:pPr>
      <w:r w:rsidRPr="00C82323">
        <w:rPr>
          <w:rFonts w:ascii="Arial" w:hAnsi="Arial" w:cs="Arial"/>
          <w:b/>
        </w:rPr>
        <w:t>Tisztelt Képviselő-testület!</w:t>
      </w:r>
    </w:p>
    <w:p w:rsidR="005A4B5C" w:rsidRPr="00C82323" w:rsidRDefault="005A4B5C" w:rsidP="006E395B">
      <w:pPr>
        <w:spacing w:after="0" w:line="240" w:lineRule="auto"/>
        <w:jc w:val="both"/>
        <w:rPr>
          <w:rFonts w:ascii="Arial" w:hAnsi="Arial" w:cs="Arial"/>
          <w:b/>
        </w:rPr>
      </w:pPr>
    </w:p>
    <w:p w:rsidR="00040599" w:rsidRPr="00C82323" w:rsidRDefault="00040599" w:rsidP="00040599">
      <w:pPr>
        <w:spacing w:after="0" w:line="240" w:lineRule="auto"/>
        <w:jc w:val="both"/>
        <w:rPr>
          <w:rFonts w:ascii="Arial" w:hAnsi="Arial" w:cs="Arial"/>
          <w:b/>
        </w:rPr>
      </w:pPr>
    </w:p>
    <w:p w:rsidR="00040599" w:rsidRPr="00C82323" w:rsidRDefault="00040599" w:rsidP="0006724C">
      <w:pPr>
        <w:contextualSpacing/>
        <w:jc w:val="both"/>
        <w:rPr>
          <w:rFonts w:ascii="Arial" w:hAnsi="Arial" w:cs="Arial"/>
          <w:szCs w:val="24"/>
        </w:rPr>
      </w:pPr>
      <w:r w:rsidRPr="00C82323">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C82323">
        <w:rPr>
          <w:rFonts w:ascii="Arial" w:hAnsi="Arial" w:cs="Arial"/>
          <w:i/>
        </w:rPr>
        <w:t>g)</w:t>
      </w:r>
      <w:r w:rsidRPr="00C82323">
        <w:rPr>
          <w:rFonts w:ascii="Arial" w:hAnsi="Arial" w:cs="Arial"/>
        </w:rPr>
        <w:t xml:space="preserve"> pontja szerint a Képviselő-testület a jegyző beszámoltatása útján ellenőrzi az adóztatást, a </w:t>
      </w:r>
      <w:r w:rsidRPr="00C82323">
        <w:rPr>
          <w:rFonts w:ascii="Arial" w:hAnsi="Arial" w:cs="Arial"/>
          <w:i/>
        </w:rPr>
        <w:t>h)</w:t>
      </w:r>
      <w:r w:rsidRPr="00C82323">
        <w:rPr>
          <w:rFonts w:ascii="Arial" w:hAnsi="Arial" w:cs="Arial"/>
        </w:rPr>
        <w:t xml:space="preserve"> pontja alapján tájékoztatja a lakosságot a helyi adókból származó bevételek összegéről. </w:t>
      </w:r>
      <w:r w:rsidRPr="00C82323">
        <w:rPr>
          <w:rFonts w:ascii="Arial" w:hAnsi="Arial" w:cs="Arial"/>
          <w:szCs w:val="24"/>
        </w:rPr>
        <w:t xml:space="preserve">A jogszabályi előírásoknak eleget téve </w:t>
      </w:r>
      <w:r w:rsidR="008C37C3" w:rsidRPr="00C82323">
        <w:rPr>
          <w:rFonts w:ascii="Arial" w:hAnsi="Arial" w:cs="Arial"/>
          <w:szCs w:val="24"/>
        </w:rPr>
        <w:t>minden év</w:t>
      </w:r>
      <w:r w:rsidR="006B1AF1">
        <w:rPr>
          <w:rFonts w:ascii="Arial" w:hAnsi="Arial" w:cs="Arial"/>
          <w:szCs w:val="24"/>
        </w:rPr>
        <w:t>ben</w:t>
      </w:r>
      <w:r w:rsidR="008C37C3" w:rsidRPr="00C82323">
        <w:rPr>
          <w:rFonts w:ascii="Arial" w:hAnsi="Arial" w:cs="Arial"/>
          <w:szCs w:val="24"/>
        </w:rPr>
        <w:t xml:space="preserve"> tájékoztatjuk a </w:t>
      </w:r>
      <w:r w:rsidRPr="00C82323">
        <w:rPr>
          <w:rFonts w:ascii="Arial" w:hAnsi="Arial" w:cs="Arial"/>
          <w:szCs w:val="24"/>
        </w:rPr>
        <w:t xml:space="preserve">Tisztelt Képviselő-testületet </w:t>
      </w:r>
      <w:r w:rsidR="008C37C3" w:rsidRPr="00C82323">
        <w:rPr>
          <w:rFonts w:ascii="Arial" w:hAnsi="Arial" w:cs="Arial"/>
          <w:szCs w:val="24"/>
        </w:rPr>
        <w:t xml:space="preserve">az előző </w:t>
      </w:r>
      <w:r w:rsidRPr="00C82323">
        <w:rPr>
          <w:rFonts w:ascii="Arial" w:hAnsi="Arial" w:cs="Arial"/>
          <w:szCs w:val="24"/>
        </w:rPr>
        <w:t>évi adóztatási tevékenységről</w:t>
      </w:r>
      <w:r w:rsidR="008E0D56">
        <w:rPr>
          <w:rFonts w:ascii="Arial" w:hAnsi="Arial" w:cs="Arial"/>
          <w:szCs w:val="24"/>
        </w:rPr>
        <w:t xml:space="preserve"> és az adóhatóság munkájáról.</w:t>
      </w:r>
    </w:p>
    <w:p w:rsidR="00040599" w:rsidRPr="00C82323" w:rsidRDefault="00040599" w:rsidP="0006724C">
      <w:pPr>
        <w:contextualSpacing/>
        <w:jc w:val="both"/>
        <w:rPr>
          <w:rFonts w:ascii="Arial" w:hAnsi="Arial" w:cs="Arial"/>
        </w:rPr>
      </w:pPr>
      <w:r w:rsidRPr="00C82323">
        <w:rPr>
          <w:rFonts w:ascii="Arial" w:hAnsi="Arial" w:cs="Arial"/>
        </w:rPr>
        <w:t>Az adóztatás keretét az Alaptörvény</w:t>
      </w:r>
      <w:r w:rsidR="00483E9E" w:rsidRPr="00C82323">
        <w:rPr>
          <w:rFonts w:ascii="Arial" w:hAnsi="Arial" w:cs="Arial"/>
        </w:rPr>
        <w:t>,</w:t>
      </w:r>
      <w:r w:rsidRPr="00C82323">
        <w:rPr>
          <w:rFonts w:ascii="Arial" w:hAnsi="Arial" w:cs="Arial"/>
        </w:rPr>
        <w:t xml:space="preserve"> illetve annak felhatalmazása alapján a helyi adókról szóló 1990. évi C. törvény (a továbbiakban: </w:t>
      </w:r>
      <w:proofErr w:type="spellStart"/>
      <w:r w:rsidRPr="00C82323">
        <w:rPr>
          <w:rFonts w:ascii="Arial" w:hAnsi="Arial" w:cs="Arial"/>
        </w:rPr>
        <w:t>Htv</w:t>
      </w:r>
      <w:proofErr w:type="spellEnd"/>
      <w:r w:rsidRPr="00C82323">
        <w:rPr>
          <w:rFonts w:ascii="Arial" w:hAnsi="Arial" w:cs="Arial"/>
        </w:rPr>
        <w:t xml:space="preserve">.), míg a tényleges adókötelezettséget a </w:t>
      </w:r>
      <w:proofErr w:type="spellStart"/>
      <w:r w:rsidRPr="00C82323">
        <w:rPr>
          <w:rFonts w:ascii="Arial" w:hAnsi="Arial" w:cs="Arial"/>
        </w:rPr>
        <w:t>Htv</w:t>
      </w:r>
      <w:proofErr w:type="spellEnd"/>
      <w:r w:rsidRPr="00C82323">
        <w:rPr>
          <w:rFonts w:ascii="Arial" w:hAnsi="Arial" w:cs="Arial"/>
        </w:rPr>
        <w:t>. felhatalmazása alapján megalkotott helyi rendeletek határozzák meg.</w:t>
      </w:r>
      <w:r w:rsidR="00B46BC7" w:rsidRPr="00C82323">
        <w:rPr>
          <w:rFonts w:ascii="Arial" w:hAnsi="Arial" w:cs="Arial"/>
        </w:rPr>
        <w:t xml:space="preserve"> Az önkormányzat a vállalkozások és magánszemélyek teherviselő képességét mérlegelve, az adó mértékét a helyi sajátosságokhoz az önkormányzat gazdálkodási k</w:t>
      </w:r>
      <w:r w:rsidR="00B0566D" w:rsidRPr="00C82323">
        <w:rPr>
          <w:rFonts w:ascii="Arial" w:hAnsi="Arial" w:cs="Arial"/>
        </w:rPr>
        <w:t>öve</w:t>
      </w:r>
      <w:r w:rsidR="00B46BC7" w:rsidRPr="00C82323">
        <w:rPr>
          <w:rFonts w:ascii="Arial" w:hAnsi="Arial" w:cs="Arial"/>
        </w:rPr>
        <w:t>telmé</w:t>
      </w:r>
      <w:r w:rsidR="00B0566D" w:rsidRPr="00C82323">
        <w:rPr>
          <w:rFonts w:ascii="Arial" w:hAnsi="Arial" w:cs="Arial"/>
        </w:rPr>
        <w:t>n</w:t>
      </w:r>
      <w:r w:rsidR="00B46BC7" w:rsidRPr="00C82323">
        <w:rPr>
          <w:rFonts w:ascii="Arial" w:hAnsi="Arial" w:cs="Arial"/>
        </w:rPr>
        <w:t>yeihez és az adóalanyok teherviselő képességéhez viszonyítva állapítja meg.</w:t>
      </w:r>
    </w:p>
    <w:p w:rsidR="008C37C3" w:rsidRPr="00C82323" w:rsidRDefault="008C37C3" w:rsidP="0006724C">
      <w:pPr>
        <w:contextualSpacing/>
        <w:jc w:val="both"/>
        <w:rPr>
          <w:rFonts w:ascii="Arial" w:hAnsi="Arial" w:cs="Arial"/>
        </w:rPr>
      </w:pPr>
    </w:p>
    <w:p w:rsidR="00EA1CE6" w:rsidRPr="00C82323" w:rsidRDefault="007874CC" w:rsidP="0006724C">
      <w:pPr>
        <w:contextualSpacing/>
        <w:jc w:val="both"/>
        <w:rPr>
          <w:rFonts w:ascii="Arial" w:hAnsi="Arial" w:cs="Arial"/>
        </w:rPr>
      </w:pPr>
      <w:r w:rsidRPr="00C82323">
        <w:rPr>
          <w:rFonts w:ascii="Arial" w:hAnsi="Arial" w:cs="Arial"/>
        </w:rPr>
        <w:t xml:space="preserve">A </w:t>
      </w:r>
      <w:r w:rsidR="00040599" w:rsidRPr="00C82323">
        <w:rPr>
          <w:rFonts w:ascii="Arial" w:hAnsi="Arial" w:cs="Arial"/>
        </w:rPr>
        <w:t>helyi adókról szóló</w:t>
      </w:r>
      <w:r w:rsidR="00B46BC7" w:rsidRPr="00C82323">
        <w:rPr>
          <w:rFonts w:ascii="Arial" w:hAnsi="Arial" w:cs="Arial"/>
        </w:rPr>
        <w:t xml:space="preserve"> a</w:t>
      </w:r>
      <w:r w:rsidR="00040599" w:rsidRPr="00C82323">
        <w:rPr>
          <w:rFonts w:ascii="Arial" w:hAnsi="Arial" w:cs="Arial"/>
        </w:rPr>
        <w:t xml:space="preserve"> </w:t>
      </w:r>
      <w:r w:rsidR="00F30012" w:rsidRPr="00C82323">
        <w:rPr>
          <w:rFonts w:ascii="Arial" w:hAnsi="Arial" w:cs="Arial"/>
        </w:rPr>
        <w:t>4/2010. (II.10.) Ör. (a továbbiakban: Ör.)</w:t>
      </w:r>
      <w:r w:rsidRPr="00C82323">
        <w:rPr>
          <w:rFonts w:ascii="Arial" w:hAnsi="Arial" w:cs="Arial"/>
        </w:rPr>
        <w:t xml:space="preserve"> rendelet</w:t>
      </w:r>
      <w:r w:rsidR="00B46BC7" w:rsidRPr="00C82323">
        <w:rPr>
          <w:rFonts w:ascii="Arial" w:hAnsi="Arial" w:cs="Arial"/>
        </w:rPr>
        <w:t>et alkotta a Képviselő-testület</w:t>
      </w:r>
      <w:r w:rsidR="00C25742">
        <w:rPr>
          <w:rFonts w:ascii="Arial" w:hAnsi="Arial" w:cs="Arial"/>
        </w:rPr>
        <w:t>, amely</w:t>
      </w:r>
      <w:r w:rsidR="00BD373F">
        <w:rPr>
          <w:rFonts w:ascii="Arial" w:hAnsi="Arial" w:cs="Arial"/>
        </w:rPr>
        <w:t xml:space="preserve"> három fő adóra épül.</w:t>
      </w:r>
    </w:p>
    <w:p w:rsidR="00AA7145" w:rsidRPr="00C82323" w:rsidRDefault="00801661" w:rsidP="0006724C">
      <w:pPr>
        <w:pStyle w:val="Listaszerbekezds"/>
        <w:numPr>
          <w:ilvl w:val="0"/>
          <w:numId w:val="9"/>
        </w:numPr>
        <w:spacing w:after="200" w:line="276" w:lineRule="auto"/>
        <w:jc w:val="both"/>
        <w:rPr>
          <w:rFonts w:ascii="Arial" w:hAnsi="Arial" w:cs="Arial"/>
        </w:rPr>
      </w:pPr>
      <w:r w:rsidRPr="00C82323">
        <w:rPr>
          <w:rFonts w:ascii="Arial" w:hAnsi="Arial" w:cs="Arial"/>
        </w:rPr>
        <w:t>helyi iparű</w:t>
      </w:r>
      <w:r w:rsidR="00AA7145" w:rsidRPr="00C82323">
        <w:rPr>
          <w:rFonts w:ascii="Arial" w:hAnsi="Arial" w:cs="Arial"/>
        </w:rPr>
        <w:t>zési adó,</w:t>
      </w:r>
    </w:p>
    <w:p w:rsidR="00040599" w:rsidRPr="00C82323" w:rsidRDefault="00AA7145" w:rsidP="0006724C">
      <w:pPr>
        <w:pStyle w:val="Listaszerbekezds"/>
        <w:numPr>
          <w:ilvl w:val="0"/>
          <w:numId w:val="9"/>
        </w:numPr>
        <w:spacing w:after="200" w:line="276" w:lineRule="auto"/>
        <w:jc w:val="both"/>
        <w:rPr>
          <w:rFonts w:ascii="Arial" w:hAnsi="Arial" w:cs="Arial"/>
        </w:rPr>
      </w:pPr>
      <w:r w:rsidRPr="00C82323">
        <w:rPr>
          <w:rFonts w:ascii="Arial" w:hAnsi="Arial" w:cs="Arial"/>
        </w:rPr>
        <w:t>idegenforgalmi adó,</w:t>
      </w:r>
    </w:p>
    <w:p w:rsidR="00040599" w:rsidRPr="00C82323" w:rsidRDefault="00040599" w:rsidP="0006724C">
      <w:pPr>
        <w:pStyle w:val="Listaszerbekezds"/>
        <w:numPr>
          <w:ilvl w:val="0"/>
          <w:numId w:val="9"/>
        </w:numPr>
        <w:spacing w:after="200" w:line="276" w:lineRule="auto"/>
        <w:jc w:val="both"/>
        <w:rPr>
          <w:rFonts w:ascii="Arial" w:hAnsi="Arial" w:cs="Arial"/>
        </w:rPr>
      </w:pPr>
      <w:r w:rsidRPr="00C82323">
        <w:rPr>
          <w:rFonts w:ascii="Arial" w:hAnsi="Arial" w:cs="Arial"/>
        </w:rPr>
        <w:t>építményadó (</w:t>
      </w:r>
      <w:r w:rsidR="009F7765" w:rsidRPr="00C82323">
        <w:rPr>
          <w:rFonts w:ascii="Arial" w:hAnsi="Arial" w:cs="Arial"/>
        </w:rPr>
        <w:t>hasznos alapterület alapú</w:t>
      </w:r>
      <w:r w:rsidR="004C40FF" w:rsidRPr="00C82323">
        <w:rPr>
          <w:rFonts w:ascii="Arial" w:hAnsi="Arial" w:cs="Arial"/>
        </w:rPr>
        <w:t>)</w:t>
      </w:r>
      <w:r w:rsidR="00FF5DE7" w:rsidRPr="00C82323">
        <w:rPr>
          <w:rFonts w:ascii="Arial" w:hAnsi="Arial" w:cs="Arial"/>
        </w:rPr>
        <w:t>.</w:t>
      </w:r>
    </w:p>
    <w:p w:rsidR="00D34209" w:rsidRPr="00C82323" w:rsidRDefault="00D34209" w:rsidP="0006724C">
      <w:pPr>
        <w:pStyle w:val="Listaszerbekezds"/>
        <w:spacing w:after="200" w:line="276" w:lineRule="auto"/>
        <w:jc w:val="both"/>
        <w:rPr>
          <w:rFonts w:ascii="Arial" w:hAnsi="Arial" w:cs="Arial"/>
        </w:rPr>
      </w:pPr>
    </w:p>
    <w:p w:rsidR="00E05566" w:rsidRDefault="00040599" w:rsidP="0006724C">
      <w:pPr>
        <w:contextualSpacing/>
        <w:jc w:val="both"/>
        <w:rPr>
          <w:rFonts w:ascii="Arial" w:hAnsi="Arial" w:cs="Arial"/>
        </w:rPr>
      </w:pPr>
      <w:r w:rsidRPr="00C82323">
        <w:rPr>
          <w:rFonts w:ascii="Arial" w:hAnsi="Arial" w:cs="Arial"/>
        </w:rPr>
        <w:t>Hévíz Város Önkormányzatának feladatellátását a saját bevételek –</w:t>
      </w:r>
      <w:r w:rsidR="00BD373F">
        <w:rPr>
          <w:rFonts w:ascii="Arial" w:hAnsi="Arial" w:cs="Arial"/>
        </w:rPr>
        <w:t xml:space="preserve"> </w:t>
      </w:r>
      <w:r w:rsidRPr="00C82323">
        <w:rPr>
          <w:rFonts w:ascii="Arial" w:hAnsi="Arial" w:cs="Arial"/>
        </w:rPr>
        <w:t xml:space="preserve">a helyi adókból származó bevételek – </w:t>
      </w:r>
      <w:r w:rsidR="00C71974" w:rsidRPr="00C82323">
        <w:rPr>
          <w:rFonts w:ascii="Arial" w:hAnsi="Arial" w:cs="Arial"/>
        </w:rPr>
        <w:t>az állami támogatások</w:t>
      </w:r>
      <w:r w:rsidRPr="00C82323">
        <w:rPr>
          <w:rFonts w:ascii="Arial" w:hAnsi="Arial" w:cs="Arial"/>
        </w:rPr>
        <w:t xml:space="preserve"> biztosították</w:t>
      </w:r>
      <w:r w:rsidR="005219BC" w:rsidRPr="00C82323">
        <w:rPr>
          <w:rFonts w:ascii="Arial" w:hAnsi="Arial" w:cs="Arial"/>
        </w:rPr>
        <w:t>. Az önkormányzati adóhatóság által beszedett központi adók és bírságok eltérő mértékben a költségvetési törvényben megállapított arányban illetik meg az önkormányzatot (</w:t>
      </w:r>
      <w:r w:rsidR="00BD373F">
        <w:rPr>
          <w:rFonts w:ascii="Arial" w:hAnsi="Arial" w:cs="Arial"/>
        </w:rPr>
        <w:t>2020. évtől már az adóbevételinknek nem része az átengedett gépjárműadó</w:t>
      </w:r>
      <w:r w:rsidR="005219BC" w:rsidRPr="00C82323">
        <w:rPr>
          <w:rFonts w:ascii="Arial" w:hAnsi="Arial" w:cs="Arial"/>
        </w:rPr>
        <w:t xml:space="preserve"> </w:t>
      </w:r>
      <w:r w:rsidR="00ED0D70" w:rsidRPr="00C82323">
        <w:rPr>
          <w:rFonts w:ascii="Arial" w:hAnsi="Arial" w:cs="Arial"/>
        </w:rPr>
        <w:t>adó</w:t>
      </w:r>
      <w:r w:rsidR="00BD373F">
        <w:rPr>
          <w:rFonts w:ascii="Arial" w:hAnsi="Arial" w:cs="Arial"/>
        </w:rPr>
        <w:t>).</w:t>
      </w:r>
      <w:r w:rsidR="00ED0D70" w:rsidRPr="00C82323">
        <w:rPr>
          <w:rFonts w:ascii="Arial" w:hAnsi="Arial" w:cs="Arial"/>
        </w:rPr>
        <w:t xml:space="preserve"> </w:t>
      </w:r>
    </w:p>
    <w:p w:rsidR="004163BF" w:rsidRDefault="004163BF" w:rsidP="0006724C">
      <w:pPr>
        <w:contextualSpacing/>
        <w:jc w:val="both"/>
        <w:rPr>
          <w:rFonts w:ascii="Arial" w:hAnsi="Arial" w:cs="Arial"/>
        </w:rPr>
      </w:pPr>
    </w:p>
    <w:p w:rsidR="00E05566" w:rsidRDefault="00E05566" w:rsidP="0006724C">
      <w:pPr>
        <w:contextualSpacing/>
        <w:jc w:val="both"/>
        <w:rPr>
          <w:rFonts w:ascii="Arial" w:hAnsi="Arial" w:cs="Arial"/>
          <w:b/>
        </w:rPr>
      </w:pPr>
      <w:r w:rsidRPr="00C403E4">
        <w:rPr>
          <w:rFonts w:ascii="Arial" w:hAnsi="Arial" w:cs="Arial"/>
          <w:b/>
        </w:rPr>
        <w:t>A koronavírus járvány 202</w:t>
      </w:r>
      <w:r w:rsidR="00724AC6">
        <w:rPr>
          <w:rFonts w:ascii="Arial" w:hAnsi="Arial" w:cs="Arial"/>
          <w:b/>
        </w:rPr>
        <w:t>1</w:t>
      </w:r>
      <w:r w:rsidRPr="00C403E4">
        <w:rPr>
          <w:rFonts w:ascii="Arial" w:hAnsi="Arial" w:cs="Arial"/>
          <w:b/>
        </w:rPr>
        <w:t xml:space="preserve">. </w:t>
      </w:r>
      <w:r w:rsidR="00724AC6">
        <w:rPr>
          <w:rFonts w:ascii="Arial" w:hAnsi="Arial" w:cs="Arial"/>
          <w:b/>
        </w:rPr>
        <w:t>évben is jelentős hatással volt az önkormányzat adóbevételeire.</w:t>
      </w:r>
    </w:p>
    <w:p w:rsidR="00ED0D70" w:rsidRPr="00724AC6" w:rsidRDefault="00E05566" w:rsidP="0006724C">
      <w:pPr>
        <w:contextualSpacing/>
        <w:jc w:val="both"/>
        <w:rPr>
          <w:rFonts w:ascii="Arial" w:hAnsi="Arial" w:cs="Arial"/>
        </w:rPr>
      </w:pPr>
      <w:r>
        <w:rPr>
          <w:rFonts w:ascii="Arial" w:hAnsi="Arial" w:cs="Arial"/>
          <w:b/>
        </w:rPr>
        <w:t>A kormányzati intézkedések</w:t>
      </w:r>
      <w:r w:rsidR="00724AC6">
        <w:rPr>
          <w:rFonts w:ascii="Arial" w:hAnsi="Arial" w:cs="Arial"/>
          <w:b/>
        </w:rPr>
        <w:t xml:space="preserve"> következtében több, az önkormányzatok adóbevételét érintő jogszabály is módosult, </w:t>
      </w:r>
      <w:r w:rsidR="00724AC6">
        <w:rPr>
          <w:rFonts w:ascii="Arial" w:hAnsi="Arial" w:cs="Arial"/>
        </w:rPr>
        <w:t>amelyek elsősorban az adófizetők</w:t>
      </w:r>
      <w:r w:rsidR="00FB1EC3">
        <w:rPr>
          <w:rFonts w:ascii="Arial" w:hAnsi="Arial" w:cs="Arial"/>
        </w:rPr>
        <w:t xml:space="preserve"> védelmét</w:t>
      </w:r>
      <w:r w:rsidR="00724AC6">
        <w:rPr>
          <w:rFonts w:ascii="Arial" w:hAnsi="Arial" w:cs="Arial"/>
        </w:rPr>
        <w:t>, vállalkozók érdekeit szolgál</w:t>
      </w:r>
      <w:r w:rsidR="004D7143">
        <w:rPr>
          <w:rFonts w:ascii="Arial" w:hAnsi="Arial" w:cs="Arial"/>
        </w:rPr>
        <w:t>j</w:t>
      </w:r>
      <w:r w:rsidR="00724AC6">
        <w:rPr>
          <w:rFonts w:ascii="Arial" w:hAnsi="Arial" w:cs="Arial"/>
        </w:rPr>
        <w:t>ák.</w:t>
      </w:r>
    </w:p>
    <w:p w:rsidR="00724AC6" w:rsidRDefault="00257C78" w:rsidP="0006724C">
      <w:pPr>
        <w:contextualSpacing/>
        <w:jc w:val="both"/>
        <w:rPr>
          <w:rFonts w:ascii="Arial" w:hAnsi="Arial" w:cs="Arial"/>
          <w:b/>
        </w:rPr>
      </w:pPr>
      <w:r>
        <w:rPr>
          <w:rFonts w:ascii="Arial" w:hAnsi="Arial" w:cs="Arial"/>
          <w:b/>
        </w:rPr>
        <w:t>2021. évben a v</w:t>
      </w:r>
      <w:r w:rsidR="00455841">
        <w:rPr>
          <w:rFonts w:ascii="Arial" w:hAnsi="Arial" w:cs="Arial"/>
          <w:b/>
        </w:rPr>
        <w:t>e</w:t>
      </w:r>
      <w:r>
        <w:rPr>
          <w:rFonts w:ascii="Arial" w:hAnsi="Arial" w:cs="Arial"/>
          <w:b/>
        </w:rPr>
        <w:t>sz</w:t>
      </w:r>
      <w:r w:rsidR="00455841">
        <w:rPr>
          <w:rFonts w:ascii="Arial" w:hAnsi="Arial" w:cs="Arial"/>
          <w:b/>
        </w:rPr>
        <w:t>ély</w:t>
      </w:r>
      <w:r>
        <w:rPr>
          <w:rFonts w:ascii="Arial" w:hAnsi="Arial" w:cs="Arial"/>
          <w:b/>
        </w:rPr>
        <w:t xml:space="preserve">helyzet miatt speciális szabályok is életben </w:t>
      </w:r>
      <w:r w:rsidR="00FB1EC3">
        <w:rPr>
          <w:rFonts w:ascii="Arial" w:hAnsi="Arial" w:cs="Arial"/>
          <w:b/>
        </w:rPr>
        <w:t>maradtak</w:t>
      </w:r>
      <w:r>
        <w:rPr>
          <w:rFonts w:ascii="Arial" w:hAnsi="Arial" w:cs="Arial"/>
          <w:b/>
        </w:rPr>
        <w:t xml:space="preserve">. </w:t>
      </w:r>
    </w:p>
    <w:p w:rsidR="00C05216" w:rsidRDefault="00C05216" w:rsidP="0006724C">
      <w:pPr>
        <w:contextualSpacing/>
        <w:rPr>
          <w:rStyle w:val="markedcontent"/>
          <w:rFonts w:ascii="Arial" w:hAnsi="Arial" w:cs="Arial"/>
        </w:rPr>
      </w:pPr>
    </w:p>
    <w:p w:rsidR="00691940" w:rsidRDefault="00C05216" w:rsidP="0006724C">
      <w:pPr>
        <w:contextualSpacing/>
        <w:jc w:val="both"/>
        <w:rPr>
          <w:rStyle w:val="markedcontent"/>
          <w:rFonts w:ascii="Arial" w:hAnsi="Arial" w:cs="Arial"/>
        </w:rPr>
      </w:pPr>
      <w:r>
        <w:rPr>
          <w:rStyle w:val="markedcontent"/>
          <w:rFonts w:ascii="Arial" w:hAnsi="Arial" w:cs="Arial"/>
        </w:rPr>
        <w:t>A</w:t>
      </w:r>
      <w:r w:rsidR="00602606">
        <w:rPr>
          <w:rStyle w:val="markedcontent"/>
          <w:rFonts w:ascii="Arial" w:hAnsi="Arial" w:cs="Arial"/>
        </w:rPr>
        <w:t xml:space="preserve"> 2021. évi XCIX. törvény és a </w:t>
      </w:r>
      <w:r>
        <w:rPr>
          <w:rStyle w:val="markedcontent"/>
          <w:rFonts w:ascii="Arial" w:hAnsi="Arial" w:cs="Arial"/>
        </w:rPr>
        <w:t>koronavírus világjárvány nemzetgazdaságot érintő hatása enyhítése érdekében szükséges helyi adó intézkedésről szóló 535/2020. (XII.1.) Korm. rendelet módosításáról szóló 641/2021. (XI. 25.) Korm. rendelet alapján:</w:t>
      </w:r>
    </w:p>
    <w:p w:rsidR="00C05216" w:rsidRPr="00691940" w:rsidRDefault="005C5527" w:rsidP="0006724C">
      <w:pPr>
        <w:pStyle w:val="Listaszerbekezds"/>
        <w:numPr>
          <w:ilvl w:val="0"/>
          <w:numId w:val="27"/>
        </w:numPr>
        <w:spacing w:after="200" w:line="276" w:lineRule="auto"/>
        <w:jc w:val="both"/>
        <w:rPr>
          <w:rStyle w:val="markedcontent"/>
          <w:rFonts w:ascii="Arial" w:hAnsi="Arial" w:cs="Arial"/>
        </w:rPr>
      </w:pPr>
      <w:r w:rsidRPr="00691940">
        <w:rPr>
          <w:rStyle w:val="markedcontent"/>
          <w:rFonts w:ascii="Arial" w:hAnsi="Arial" w:cs="Arial"/>
        </w:rPr>
        <w:t xml:space="preserve">a 2021. évben végződő adóévben, valamint a 2022. évben végződő adóévben a helyi adó és a települési adó mértéke nem lehet magasabb, mint az ugyanazon helyi adónak, települési adónak a 2020. december 2. napján hatályos és alkalmazandó önkormányzati adórendeletben </w:t>
      </w:r>
      <w:proofErr w:type="gramStart"/>
      <w:r w:rsidRPr="00691940">
        <w:rPr>
          <w:rStyle w:val="markedcontent"/>
          <w:rFonts w:ascii="Arial" w:hAnsi="Arial" w:cs="Arial"/>
        </w:rPr>
        <w:t xml:space="preserve">megállapított </w:t>
      </w:r>
      <w:r w:rsidR="00691940" w:rsidRPr="00691940">
        <w:rPr>
          <w:rStyle w:val="markedcontent"/>
          <w:rFonts w:ascii="Arial" w:hAnsi="Arial" w:cs="Arial"/>
        </w:rPr>
        <w:t xml:space="preserve"> adómértéke</w:t>
      </w:r>
      <w:proofErr w:type="gramEnd"/>
      <w:r w:rsidR="00691940" w:rsidRPr="00691940">
        <w:rPr>
          <w:rStyle w:val="markedcontent"/>
          <w:rFonts w:ascii="Arial" w:hAnsi="Arial" w:cs="Arial"/>
        </w:rPr>
        <w:t>;</w:t>
      </w:r>
    </w:p>
    <w:p w:rsidR="00691940" w:rsidRPr="00691940" w:rsidRDefault="00691940" w:rsidP="0006724C">
      <w:pPr>
        <w:pStyle w:val="Listaszerbekezds"/>
        <w:numPr>
          <w:ilvl w:val="0"/>
          <w:numId w:val="27"/>
        </w:numPr>
        <w:spacing w:after="200" w:line="276" w:lineRule="auto"/>
        <w:jc w:val="both"/>
        <w:rPr>
          <w:rStyle w:val="markedcontent"/>
          <w:rFonts w:ascii="Arial" w:hAnsi="Arial" w:cs="Arial"/>
        </w:rPr>
      </w:pPr>
      <w:r w:rsidRPr="00691940">
        <w:rPr>
          <w:rStyle w:val="markedcontent"/>
          <w:rFonts w:ascii="Arial" w:hAnsi="Arial" w:cs="Arial"/>
        </w:rPr>
        <w:lastRenderedPageBreak/>
        <w:t>az önkormányzatnak a 2020. december 2. napján hatályos adórendelete szerinti adómentességet, adókedvezményt a 2021. évben végződő adóévben, valamint a 2022. évben végződő adóévben is biztosítania kell,</w:t>
      </w:r>
    </w:p>
    <w:p w:rsidR="00691940" w:rsidRPr="00691940" w:rsidRDefault="00691940" w:rsidP="0006724C">
      <w:pPr>
        <w:pStyle w:val="Listaszerbekezds"/>
        <w:numPr>
          <w:ilvl w:val="0"/>
          <w:numId w:val="27"/>
        </w:numPr>
        <w:spacing w:after="200" w:line="276" w:lineRule="auto"/>
        <w:rPr>
          <w:rStyle w:val="markedcontent"/>
          <w:rFonts w:ascii="Arial" w:hAnsi="Arial" w:cs="Arial"/>
        </w:rPr>
      </w:pPr>
      <w:r w:rsidRPr="00691940">
        <w:rPr>
          <w:rStyle w:val="markedcontent"/>
          <w:rFonts w:ascii="Arial" w:hAnsi="Arial" w:cs="Arial"/>
        </w:rPr>
        <w:t>a települési önkormányzat a 2021. évre és a 2022. évre új helyi adót, új települési adót nem</w:t>
      </w:r>
      <w:r>
        <w:rPr>
          <w:rStyle w:val="markedcontent"/>
          <w:rFonts w:ascii="Arial" w:hAnsi="Arial" w:cs="Arial"/>
        </w:rPr>
        <w:t xml:space="preserve"> </w:t>
      </w:r>
      <w:r w:rsidRPr="00691940">
        <w:rPr>
          <w:rStyle w:val="markedcontent"/>
          <w:rFonts w:ascii="Arial" w:hAnsi="Arial" w:cs="Arial"/>
        </w:rPr>
        <w:t>jogosult bevezetni.</w:t>
      </w:r>
      <w:r w:rsidRPr="00C05216">
        <w:br/>
      </w:r>
    </w:p>
    <w:p w:rsidR="00040599" w:rsidRPr="00C82323" w:rsidRDefault="00B60B7D" w:rsidP="0006724C">
      <w:pPr>
        <w:pStyle w:val="Listaszerbekezds"/>
        <w:numPr>
          <w:ilvl w:val="0"/>
          <w:numId w:val="3"/>
        </w:numPr>
        <w:tabs>
          <w:tab w:val="center" w:pos="4422"/>
          <w:tab w:val="left" w:pos="6045"/>
        </w:tabs>
        <w:spacing w:after="200" w:line="276" w:lineRule="auto"/>
        <w:rPr>
          <w:rFonts w:ascii="Arial" w:hAnsi="Arial" w:cs="Arial"/>
          <w:b/>
        </w:rPr>
      </w:pPr>
      <w:r w:rsidRPr="00C82323">
        <w:rPr>
          <w:rFonts w:ascii="Arial" w:hAnsi="Arial" w:cs="Arial"/>
          <w:b/>
        </w:rPr>
        <w:t>Adóbevételek alakulása 20</w:t>
      </w:r>
      <w:r w:rsidR="00C5627D">
        <w:rPr>
          <w:rFonts w:ascii="Arial" w:hAnsi="Arial" w:cs="Arial"/>
          <w:b/>
        </w:rPr>
        <w:t>2</w:t>
      </w:r>
      <w:r w:rsidR="00724AC6">
        <w:rPr>
          <w:rFonts w:ascii="Arial" w:hAnsi="Arial" w:cs="Arial"/>
          <w:b/>
        </w:rPr>
        <w:t>1</w:t>
      </w:r>
      <w:r w:rsidR="00040599" w:rsidRPr="00C82323">
        <w:rPr>
          <w:rFonts w:ascii="Arial" w:hAnsi="Arial" w:cs="Arial"/>
          <w:b/>
        </w:rPr>
        <w:t>. évben</w:t>
      </w:r>
    </w:p>
    <w:p w:rsidR="00040599" w:rsidRPr="00C82323" w:rsidRDefault="00040599" w:rsidP="0006724C">
      <w:pPr>
        <w:tabs>
          <w:tab w:val="center" w:pos="4422"/>
          <w:tab w:val="left" w:pos="6045"/>
        </w:tabs>
        <w:contextualSpacing/>
        <w:rPr>
          <w:rFonts w:ascii="Arial" w:hAnsi="Arial" w:cs="Arial"/>
          <w:b/>
        </w:rPr>
      </w:pPr>
    </w:p>
    <w:p w:rsidR="00E6080B" w:rsidRDefault="00E6080B" w:rsidP="0006724C">
      <w:pPr>
        <w:tabs>
          <w:tab w:val="center" w:pos="4422"/>
          <w:tab w:val="left" w:pos="6045"/>
        </w:tabs>
        <w:contextualSpacing/>
        <w:jc w:val="both"/>
        <w:rPr>
          <w:rFonts w:ascii="Arial" w:hAnsi="Arial" w:cs="Arial"/>
        </w:rPr>
      </w:pPr>
      <w:r w:rsidRPr="00C82323">
        <w:rPr>
          <w:rFonts w:ascii="Arial" w:hAnsi="Arial" w:cs="Arial"/>
        </w:rPr>
        <w:t xml:space="preserve">Hévíz Város Önkormányzat adóbevételét vizsgálva elmondhatjuk, hogy </w:t>
      </w:r>
      <w:r>
        <w:rPr>
          <w:rFonts w:ascii="Arial" w:hAnsi="Arial" w:cs="Arial"/>
        </w:rPr>
        <w:t xml:space="preserve">a korábbi éveket jellemző kiegyensúlyozott adóbevétel </w:t>
      </w:r>
      <w:r w:rsidR="00860D43">
        <w:rPr>
          <w:rFonts w:ascii="Arial" w:hAnsi="Arial" w:cs="Arial"/>
        </w:rPr>
        <w:t xml:space="preserve">növekedés 2020. és 2021. évben </w:t>
      </w:r>
      <w:r>
        <w:rPr>
          <w:rFonts w:ascii="Arial" w:hAnsi="Arial" w:cs="Arial"/>
        </w:rPr>
        <w:t>megszakadt.</w:t>
      </w:r>
      <w:r w:rsidR="001970A4">
        <w:rPr>
          <w:rFonts w:ascii="Arial" w:hAnsi="Arial" w:cs="Arial"/>
        </w:rPr>
        <w:t xml:space="preserve"> Az önkormányzatokat érintő központi megszorítások és a koronavírus v</w:t>
      </w:r>
      <w:r w:rsidR="00455841">
        <w:rPr>
          <w:rFonts w:ascii="Arial" w:hAnsi="Arial" w:cs="Arial"/>
        </w:rPr>
        <w:t>e</w:t>
      </w:r>
      <w:r w:rsidR="001970A4">
        <w:rPr>
          <w:rFonts w:ascii="Arial" w:hAnsi="Arial" w:cs="Arial"/>
        </w:rPr>
        <w:t>sz</w:t>
      </w:r>
      <w:r w:rsidR="00455841">
        <w:rPr>
          <w:rFonts w:ascii="Arial" w:hAnsi="Arial" w:cs="Arial"/>
        </w:rPr>
        <w:t>ély</w:t>
      </w:r>
      <w:r w:rsidR="001970A4">
        <w:rPr>
          <w:rFonts w:ascii="Arial" w:hAnsi="Arial" w:cs="Arial"/>
        </w:rPr>
        <w:t xml:space="preserve">helyzet </w:t>
      </w:r>
      <w:r w:rsidR="00316EE0">
        <w:rPr>
          <w:rFonts w:ascii="Arial" w:hAnsi="Arial" w:cs="Arial"/>
        </w:rPr>
        <w:t xml:space="preserve">miatti </w:t>
      </w:r>
      <w:r w:rsidR="001970A4">
        <w:rPr>
          <w:rFonts w:ascii="Arial" w:hAnsi="Arial" w:cs="Arial"/>
        </w:rPr>
        <w:t>gazdas</w:t>
      </w:r>
      <w:r w:rsidR="00316EE0">
        <w:rPr>
          <w:rFonts w:ascii="Arial" w:hAnsi="Arial" w:cs="Arial"/>
        </w:rPr>
        <w:t>ági visszaesés következtében – a 2019. év hasonló időszakához képest - az idei (tavalyi adóbevételek jelentősen csökkentek).</w:t>
      </w:r>
    </w:p>
    <w:p w:rsidR="00E6080B" w:rsidRPr="004D7143" w:rsidRDefault="00FB1EC3" w:rsidP="0006724C">
      <w:pPr>
        <w:contextualSpacing/>
        <w:rPr>
          <w:rFonts w:ascii="Arial" w:hAnsi="Arial" w:cs="Arial"/>
        </w:rPr>
      </w:pPr>
      <w:r w:rsidRPr="004D7143">
        <w:rPr>
          <w:rFonts w:ascii="Arial" w:hAnsi="Arial" w:cs="Arial"/>
        </w:rPr>
        <w:t>A v</w:t>
      </w:r>
      <w:r w:rsidR="00E6080B" w:rsidRPr="004D7143">
        <w:rPr>
          <w:rFonts w:ascii="Arial" w:hAnsi="Arial" w:cs="Arial"/>
        </w:rPr>
        <w:t>árost súlyosan érintette a koronavírus járvány hatása, hiszen az ágazatok közül a turizmust, vendéglátást, kereskedelmet</w:t>
      </w:r>
      <w:r w:rsidR="00316EE0" w:rsidRPr="004D7143">
        <w:rPr>
          <w:rFonts w:ascii="Arial" w:hAnsi="Arial" w:cs="Arial"/>
        </w:rPr>
        <w:t xml:space="preserve"> és a szolgáltatásokat</w:t>
      </w:r>
      <w:r w:rsidR="00E6080B" w:rsidRPr="004D7143">
        <w:rPr>
          <w:rFonts w:ascii="Arial" w:hAnsi="Arial" w:cs="Arial"/>
        </w:rPr>
        <w:t xml:space="preserve"> érintette leginkább a bevételek csökkenése, a visszaesés, amelynek következménye adóbevételeink visszaesése</w:t>
      </w:r>
      <w:r w:rsidR="00316EE0" w:rsidRPr="004D7143">
        <w:rPr>
          <w:rFonts w:ascii="Arial" w:hAnsi="Arial" w:cs="Arial"/>
        </w:rPr>
        <w:t>.</w:t>
      </w:r>
      <w:r w:rsidR="001970A4" w:rsidRPr="004D7143">
        <w:br/>
      </w:r>
    </w:p>
    <w:p w:rsidR="00BB69A7" w:rsidRPr="004D7143" w:rsidRDefault="00BB69A7" w:rsidP="0006724C">
      <w:pPr>
        <w:contextualSpacing/>
        <w:jc w:val="both"/>
        <w:rPr>
          <w:rFonts w:ascii="Arial" w:hAnsi="Arial" w:cs="Arial"/>
          <w:b/>
        </w:rPr>
      </w:pPr>
      <w:bookmarkStart w:id="0" w:name="_Hlk95989263"/>
      <w:r w:rsidRPr="004D7143">
        <w:rPr>
          <w:rFonts w:ascii="Arial" w:hAnsi="Arial" w:cs="Arial"/>
          <w:b/>
        </w:rPr>
        <w:t xml:space="preserve">Az önkormányzat adószámláira </w:t>
      </w:r>
      <w:r w:rsidRPr="004D7143">
        <w:rPr>
          <w:rFonts w:ascii="Arial" w:hAnsi="Arial" w:cs="Arial"/>
          <w:b/>
          <w:i/>
        </w:rPr>
        <w:t>2021. december 31. napjáig ténylegesen 649 698 142 forint folyt be saját bevételként</w:t>
      </w:r>
      <w:r w:rsidRPr="004D7143">
        <w:rPr>
          <w:rFonts w:ascii="Arial" w:hAnsi="Arial" w:cs="Arial"/>
          <w:b/>
        </w:rPr>
        <w:t>, ugyanez az adat 2020. évben 828</w:t>
      </w:r>
      <w:r w:rsidRPr="004D7143">
        <w:rPr>
          <w:rFonts w:ascii="Arial" w:hAnsi="Arial" w:cs="Arial"/>
          <w:b/>
          <w:lang w:eastAsia="hu-HU"/>
        </w:rPr>
        <w:t xml:space="preserve"> 037 038 </w:t>
      </w:r>
      <w:r w:rsidRPr="004D7143">
        <w:rPr>
          <w:rFonts w:ascii="Arial" w:hAnsi="Arial" w:cs="Arial"/>
          <w:b/>
        </w:rPr>
        <w:t xml:space="preserve">forint volt. </w:t>
      </w:r>
    </w:p>
    <w:p w:rsidR="00BB69A7" w:rsidRPr="004D7143" w:rsidRDefault="00BB69A7" w:rsidP="0006724C">
      <w:pPr>
        <w:contextualSpacing/>
        <w:jc w:val="both"/>
        <w:rPr>
          <w:rFonts w:ascii="Arial" w:hAnsi="Arial" w:cs="Arial"/>
        </w:rPr>
      </w:pPr>
      <w:r w:rsidRPr="004D7143">
        <w:rPr>
          <w:rFonts w:ascii="Arial" w:hAnsi="Arial" w:cs="Arial"/>
        </w:rPr>
        <w:t>2020. évhez képest 178 338 896 forint adóhiány mutatható ki</w:t>
      </w:r>
      <w:r w:rsidR="00316EE0" w:rsidRPr="004D7143">
        <w:rPr>
          <w:rFonts w:ascii="Arial" w:hAnsi="Arial" w:cs="Arial"/>
        </w:rPr>
        <w:t>, amelyet az iparűzési adó utáni állami támogatás kompenzált.</w:t>
      </w:r>
    </w:p>
    <w:p w:rsidR="00316EE0" w:rsidRDefault="00316EE0" w:rsidP="0006724C">
      <w:pPr>
        <w:contextualSpacing/>
        <w:jc w:val="both"/>
        <w:rPr>
          <w:rFonts w:ascii="Arial" w:hAnsi="Arial" w:cs="Arial"/>
          <w:b/>
          <w:bCs/>
        </w:rPr>
      </w:pPr>
      <w:r w:rsidRPr="00BB69A7">
        <w:rPr>
          <w:rStyle w:val="markedcontent"/>
          <w:rFonts w:ascii="Arial" w:hAnsi="Arial" w:cs="Arial"/>
        </w:rPr>
        <w:t xml:space="preserve">A </w:t>
      </w:r>
      <w:r w:rsidRPr="004D7143">
        <w:rPr>
          <w:rStyle w:val="markedcontent"/>
          <w:rFonts w:ascii="Arial" w:hAnsi="Arial" w:cs="Arial"/>
          <w:b/>
        </w:rPr>
        <w:t>kieső iparűzési bevételeket</w:t>
      </w:r>
      <w:r w:rsidRPr="00BB69A7">
        <w:rPr>
          <w:rStyle w:val="markedcontent"/>
          <w:rFonts w:ascii="Arial" w:hAnsi="Arial" w:cs="Arial"/>
        </w:rPr>
        <w:t xml:space="preserve"> a Kormány a 25 ezer fő alatti kistelepülések esetén kompenzálta, Hévíz sajátosságait vizsgálva a vállalkozó kör </w:t>
      </w:r>
      <w:r>
        <w:rPr>
          <w:rStyle w:val="markedcontent"/>
          <w:rFonts w:ascii="Arial" w:hAnsi="Arial" w:cs="Arial"/>
        </w:rPr>
        <w:t xml:space="preserve">közel </w:t>
      </w:r>
      <w:r w:rsidR="007B160E" w:rsidRPr="00756B05">
        <w:rPr>
          <w:rStyle w:val="markedcontent"/>
          <w:rFonts w:ascii="Arial" w:hAnsi="Arial" w:cs="Arial"/>
        </w:rPr>
        <w:t>95</w:t>
      </w:r>
      <w:r w:rsidRPr="00756B05">
        <w:rPr>
          <w:rStyle w:val="markedcontent"/>
          <w:rFonts w:ascii="Arial" w:hAnsi="Arial" w:cs="Arial"/>
        </w:rPr>
        <w:t xml:space="preserve"> %-a megf</w:t>
      </w:r>
      <w:r w:rsidRPr="00BB69A7">
        <w:rPr>
          <w:rStyle w:val="markedcontent"/>
          <w:rFonts w:ascii="Arial" w:hAnsi="Arial" w:cs="Arial"/>
        </w:rPr>
        <w:t>elelt a kedvezményezett feltéteknek.</w:t>
      </w:r>
      <w:r w:rsidRPr="00316EE0">
        <w:rPr>
          <w:rFonts w:ascii="Arial" w:hAnsi="Arial" w:cs="Arial"/>
        </w:rPr>
        <w:t xml:space="preserve"> </w:t>
      </w:r>
      <w:r w:rsidRPr="003635C0">
        <w:rPr>
          <w:rFonts w:ascii="Arial" w:hAnsi="Arial" w:cs="Arial"/>
        </w:rPr>
        <w:t>Az állami támogatást két részletben kaptuk meg 2021.</w:t>
      </w:r>
      <w:r w:rsidR="0050354A">
        <w:rPr>
          <w:rFonts w:ascii="Arial" w:hAnsi="Arial" w:cs="Arial"/>
        </w:rPr>
        <w:t xml:space="preserve"> június </w:t>
      </w:r>
      <w:r w:rsidRPr="003635C0">
        <w:rPr>
          <w:rFonts w:ascii="Arial" w:hAnsi="Arial" w:cs="Arial"/>
        </w:rPr>
        <w:t>28-án 88.321.538 Ft, majd 2</w:t>
      </w:r>
      <w:r w:rsidR="0050354A">
        <w:rPr>
          <w:rFonts w:ascii="Arial" w:hAnsi="Arial" w:cs="Arial"/>
        </w:rPr>
        <w:t>0</w:t>
      </w:r>
      <w:r w:rsidRPr="003635C0">
        <w:rPr>
          <w:rFonts w:ascii="Arial" w:hAnsi="Arial" w:cs="Arial"/>
        </w:rPr>
        <w:t>21.</w:t>
      </w:r>
      <w:r w:rsidR="0050354A">
        <w:rPr>
          <w:rFonts w:ascii="Arial" w:hAnsi="Arial" w:cs="Arial"/>
        </w:rPr>
        <w:t xml:space="preserve"> október</w:t>
      </w:r>
      <w:r w:rsidRPr="003635C0">
        <w:rPr>
          <w:rFonts w:ascii="Arial" w:hAnsi="Arial" w:cs="Arial"/>
        </w:rPr>
        <w:t xml:space="preserve"> 27-én 88.321.537 Ft</w:t>
      </w:r>
      <w:r w:rsidR="004D7143">
        <w:rPr>
          <w:rFonts w:ascii="Arial" w:hAnsi="Arial" w:cs="Arial"/>
        </w:rPr>
        <w:t>,</w:t>
      </w:r>
      <w:r w:rsidRPr="003635C0">
        <w:rPr>
          <w:rFonts w:ascii="Arial" w:hAnsi="Arial" w:cs="Arial"/>
        </w:rPr>
        <w:t xml:space="preserve"> </w:t>
      </w:r>
      <w:r w:rsidR="004D7143">
        <w:rPr>
          <w:rFonts w:ascii="Arial" w:hAnsi="Arial" w:cs="Arial"/>
          <w:b/>
          <w:bCs/>
        </w:rPr>
        <w:t>m</w:t>
      </w:r>
      <w:r w:rsidRPr="003635C0">
        <w:rPr>
          <w:rFonts w:ascii="Arial" w:hAnsi="Arial" w:cs="Arial"/>
          <w:b/>
          <w:bCs/>
        </w:rPr>
        <w:t>indösszesen: 176.643.075 Ft</w:t>
      </w:r>
      <w:r w:rsidR="004D7143">
        <w:rPr>
          <w:rFonts w:ascii="Arial" w:hAnsi="Arial" w:cs="Arial"/>
          <w:b/>
          <w:bCs/>
        </w:rPr>
        <w:t>-ot.</w:t>
      </w:r>
    </w:p>
    <w:p w:rsidR="00BB69A7" w:rsidRDefault="00316EE0" w:rsidP="0006724C">
      <w:pPr>
        <w:contextualSpacing/>
        <w:rPr>
          <w:rFonts w:ascii="Arial" w:hAnsi="Arial" w:cs="Arial"/>
        </w:rPr>
      </w:pPr>
      <w:r w:rsidRPr="003635C0">
        <w:rPr>
          <w:rFonts w:ascii="Arial" w:hAnsi="Arial" w:cs="Arial"/>
        </w:rPr>
        <w:t xml:space="preserve">Elmondhatjuk, hogy az iparűzési adóhoz kapcsolódó támogatással adóbevételünk </w:t>
      </w:r>
      <w:r w:rsidRPr="003635C0">
        <w:rPr>
          <w:rFonts w:ascii="Arial" w:hAnsi="Arial" w:cs="Arial"/>
          <w:b/>
        </w:rPr>
        <w:t>826.341.217 Ft. volt 2021. évben.</w:t>
      </w:r>
      <w:r w:rsidRPr="003635C0">
        <w:rPr>
          <w:rFonts w:ascii="Arial" w:hAnsi="Arial" w:cs="Arial"/>
          <w:b/>
        </w:rPr>
        <w:br/>
      </w:r>
    </w:p>
    <w:tbl>
      <w:tblPr>
        <w:tblW w:w="9838" w:type="dxa"/>
        <w:tblInd w:w="-10" w:type="dxa"/>
        <w:tblCellMar>
          <w:left w:w="0" w:type="dxa"/>
          <w:right w:w="0" w:type="dxa"/>
        </w:tblCellMar>
        <w:tblLook w:val="04A0" w:firstRow="1" w:lastRow="0" w:firstColumn="1" w:lastColumn="0" w:noHBand="0" w:noVBand="1"/>
      </w:tblPr>
      <w:tblGrid>
        <w:gridCol w:w="3176"/>
        <w:gridCol w:w="1559"/>
        <w:gridCol w:w="1843"/>
        <w:gridCol w:w="1843"/>
        <w:gridCol w:w="1417"/>
      </w:tblGrid>
      <w:tr w:rsidR="00BB69A7" w:rsidTr="0006724C">
        <w:trPr>
          <w:trHeight w:val="310"/>
        </w:trPr>
        <w:tc>
          <w:tcPr>
            <w:tcW w:w="317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06724C">
            <w:pPr>
              <w:jc w:val="center"/>
              <w:rPr>
                <w:rFonts w:ascii="Arial" w:hAnsi="Arial" w:cs="Arial"/>
                <w:b/>
                <w:bCs/>
                <w:color w:val="000000"/>
                <w:sz w:val="20"/>
                <w:szCs w:val="20"/>
                <w:lang w:eastAsia="hu-HU"/>
              </w:rPr>
            </w:pPr>
            <w:r w:rsidRPr="0015722B">
              <w:rPr>
                <w:rFonts w:ascii="Arial" w:hAnsi="Arial" w:cs="Arial"/>
                <w:b/>
                <w:bCs/>
                <w:sz w:val="20"/>
                <w:szCs w:val="20"/>
                <w:lang w:eastAsia="hu-HU"/>
              </w:rPr>
              <w:t>A</w:t>
            </w:r>
            <w:r w:rsidRPr="0015722B">
              <w:rPr>
                <w:rFonts w:ascii="Arial" w:hAnsi="Arial" w:cs="Arial"/>
                <w:b/>
                <w:bCs/>
                <w:color w:val="000000"/>
                <w:sz w:val="20"/>
                <w:szCs w:val="20"/>
                <w:lang w:eastAsia="hu-HU"/>
              </w:rPr>
              <w:t>dóbevételek (2021)</w:t>
            </w:r>
          </w:p>
        </w:tc>
        <w:tc>
          <w:tcPr>
            <w:tcW w:w="155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06724C">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Eredeti előirányz</w:t>
            </w:r>
            <w:r w:rsidRPr="0015722B">
              <w:rPr>
                <w:rFonts w:ascii="Arial" w:hAnsi="Arial" w:cs="Arial"/>
                <w:b/>
                <w:bCs/>
                <w:sz w:val="20"/>
                <w:szCs w:val="20"/>
                <w:lang w:eastAsia="hu-HU"/>
              </w:rPr>
              <w:t>at</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06724C">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Módosított előirányzat</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06724C">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Teljesült 2021.12.31.</w:t>
            </w:r>
          </w:p>
        </w:tc>
        <w:tc>
          <w:tcPr>
            <w:tcW w:w="141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06724C">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Teljesülés %-a</w:t>
            </w:r>
          </w:p>
        </w:tc>
      </w:tr>
      <w:tr w:rsidR="00BB69A7" w:rsidTr="0006724C">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Építményadó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224 000 000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224 000 000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256 746 620</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center"/>
              <w:rPr>
                <w:rFonts w:ascii="Arial" w:hAnsi="Arial" w:cs="Arial"/>
                <w:color w:val="000000"/>
                <w:sz w:val="20"/>
                <w:szCs w:val="20"/>
                <w:lang w:eastAsia="hu-HU"/>
              </w:rPr>
            </w:pPr>
            <w:r w:rsidRPr="0015722B">
              <w:rPr>
                <w:rFonts w:ascii="Arial" w:hAnsi="Arial" w:cs="Arial"/>
                <w:sz w:val="20"/>
                <w:szCs w:val="20"/>
                <w:lang w:eastAsia="hu-HU"/>
              </w:rPr>
              <w:t>          114,62 %</w:t>
            </w:r>
          </w:p>
        </w:tc>
      </w:tr>
      <w:tr w:rsidR="00BB69A7" w:rsidTr="0006724C">
        <w:trPr>
          <w:trHeight w:val="255"/>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Idegenforgalmi 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284 664 000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284 664 000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268 122 509</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94,19 %</w:t>
            </w:r>
          </w:p>
        </w:tc>
      </w:tr>
      <w:tr w:rsidR="00BB69A7" w:rsidTr="0006724C">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50354A" w:rsidRDefault="00BB69A7" w:rsidP="0050354A">
            <w:pPr>
              <w:jc w:val="center"/>
              <w:rPr>
                <w:rFonts w:ascii="Arial" w:hAnsi="Arial" w:cs="Arial"/>
                <w:color w:val="000000"/>
                <w:sz w:val="20"/>
                <w:szCs w:val="20"/>
                <w:lang w:eastAsia="hu-HU"/>
              </w:rPr>
            </w:pPr>
            <w:r w:rsidRPr="0050354A">
              <w:rPr>
                <w:rFonts w:ascii="Arial" w:hAnsi="Arial" w:cs="Arial"/>
                <w:color w:val="000000"/>
                <w:sz w:val="20"/>
                <w:szCs w:val="20"/>
                <w:lang w:eastAsia="hu-HU"/>
              </w:rPr>
              <w:t>Iparűzési adó</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50354A" w:rsidRDefault="00BB69A7">
            <w:pPr>
              <w:jc w:val="right"/>
              <w:rPr>
                <w:rFonts w:ascii="Arial" w:hAnsi="Arial" w:cs="Arial"/>
                <w:color w:val="000000"/>
                <w:sz w:val="20"/>
                <w:szCs w:val="20"/>
                <w:lang w:eastAsia="hu-HU"/>
              </w:rPr>
            </w:pPr>
            <w:r w:rsidRPr="0050354A">
              <w:rPr>
                <w:rFonts w:ascii="Arial" w:hAnsi="Arial" w:cs="Arial"/>
                <w:sz w:val="20"/>
                <w:szCs w:val="20"/>
                <w:lang w:eastAsia="hu-HU"/>
              </w:rPr>
              <w:t>241 368 000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50354A" w:rsidRDefault="00BB69A7">
            <w:pPr>
              <w:jc w:val="right"/>
              <w:rPr>
                <w:rFonts w:ascii="Arial" w:hAnsi="Arial" w:cs="Arial"/>
                <w:color w:val="000000"/>
                <w:sz w:val="20"/>
                <w:szCs w:val="20"/>
                <w:lang w:eastAsia="hu-HU"/>
              </w:rPr>
            </w:pPr>
            <w:r w:rsidRPr="0050354A">
              <w:rPr>
                <w:rFonts w:ascii="Arial" w:hAnsi="Arial" w:cs="Arial"/>
                <w:sz w:val="20"/>
                <w:szCs w:val="20"/>
                <w:lang w:eastAsia="hu-HU"/>
              </w:rPr>
              <w:t>241 368 000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50354A" w:rsidRDefault="00BB69A7">
            <w:pPr>
              <w:jc w:val="right"/>
              <w:rPr>
                <w:rFonts w:ascii="Arial" w:hAnsi="Arial" w:cs="Arial"/>
                <w:color w:val="000000"/>
                <w:sz w:val="20"/>
                <w:szCs w:val="20"/>
                <w:lang w:eastAsia="hu-HU"/>
              </w:rPr>
            </w:pPr>
            <w:r w:rsidRPr="0050354A">
              <w:rPr>
                <w:rFonts w:ascii="Arial" w:hAnsi="Arial" w:cs="Arial"/>
                <w:sz w:val="20"/>
                <w:szCs w:val="20"/>
                <w:lang w:eastAsia="hu-HU"/>
              </w:rPr>
              <w:t>121 485 834</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50354A" w:rsidRDefault="00BB69A7">
            <w:pPr>
              <w:jc w:val="right"/>
              <w:rPr>
                <w:rFonts w:ascii="Arial" w:hAnsi="Arial" w:cs="Arial"/>
                <w:color w:val="000000"/>
                <w:sz w:val="20"/>
                <w:szCs w:val="20"/>
                <w:lang w:eastAsia="hu-HU"/>
              </w:rPr>
            </w:pPr>
            <w:r w:rsidRPr="0050354A">
              <w:rPr>
                <w:rFonts w:ascii="Arial" w:hAnsi="Arial" w:cs="Arial"/>
                <w:sz w:val="20"/>
                <w:szCs w:val="20"/>
                <w:lang w:eastAsia="hu-HU"/>
              </w:rPr>
              <w:t>50,33 %</w:t>
            </w:r>
          </w:p>
        </w:tc>
      </w:tr>
      <w:tr w:rsidR="00BB69A7" w:rsidTr="0006724C">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Késedelmi pótlék</w:t>
            </w:r>
          </w:p>
        </w:tc>
        <w:tc>
          <w:tcPr>
            <w:tcW w:w="155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sz w:val="20"/>
                <w:szCs w:val="20"/>
                <w:lang w:eastAsia="hu-HU"/>
              </w:rPr>
            </w:pPr>
            <w:r w:rsidRPr="0015722B">
              <w:rPr>
                <w:rFonts w:ascii="Arial" w:hAnsi="Arial" w:cs="Arial"/>
                <w:sz w:val="20"/>
                <w:szCs w:val="20"/>
                <w:lang w:eastAsia="hu-HU"/>
              </w:rPr>
              <w:t>4 500 000</w:t>
            </w:r>
          </w:p>
        </w:tc>
        <w:tc>
          <w:tcPr>
            <w:tcW w:w="1843"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4 500 000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2 291 377</w:t>
            </w:r>
          </w:p>
        </w:tc>
        <w:tc>
          <w:tcPr>
            <w:tcW w:w="1417"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74,21 %</w:t>
            </w:r>
          </w:p>
        </w:tc>
      </w:tr>
      <w:tr w:rsidR="00BB69A7" w:rsidTr="0006724C">
        <w:trPr>
          <w:trHeight w:val="219"/>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Bírság</w:t>
            </w:r>
          </w:p>
        </w:tc>
        <w:tc>
          <w:tcPr>
            <w:tcW w:w="1559" w:type="dxa"/>
            <w:vMerge/>
            <w:tcBorders>
              <w:top w:val="nil"/>
              <w:left w:val="nil"/>
              <w:bottom w:val="single" w:sz="8" w:space="0" w:color="000000"/>
              <w:right w:val="single" w:sz="8" w:space="0" w:color="auto"/>
            </w:tcBorders>
            <w:vAlign w:val="center"/>
            <w:hideMark/>
          </w:tcPr>
          <w:p w:rsidR="00BB69A7" w:rsidRPr="0015722B" w:rsidRDefault="00BB69A7">
            <w:pPr>
              <w:rPr>
                <w:rFonts w:ascii="Arial" w:eastAsiaTheme="minorHAnsi" w:hAnsi="Arial" w:cs="Arial"/>
                <w:sz w:val="20"/>
                <w:szCs w:val="20"/>
                <w:lang w:eastAsia="hu-HU"/>
              </w:rPr>
            </w:pPr>
          </w:p>
        </w:tc>
        <w:tc>
          <w:tcPr>
            <w:tcW w:w="1843" w:type="dxa"/>
            <w:vMerge/>
            <w:tcBorders>
              <w:top w:val="nil"/>
              <w:left w:val="nil"/>
              <w:bottom w:val="single" w:sz="8" w:space="0" w:color="000000"/>
              <w:right w:val="single" w:sz="8" w:space="0" w:color="auto"/>
            </w:tcBorders>
            <w:vAlign w:val="center"/>
            <w:hideMark/>
          </w:tcPr>
          <w:p w:rsidR="00BB69A7" w:rsidRPr="0015722B" w:rsidRDefault="00BB69A7">
            <w:pPr>
              <w:rPr>
                <w:rFonts w:ascii="Arial" w:eastAsiaTheme="minorHAnsi" w:hAnsi="Arial" w:cs="Arial"/>
                <w:color w:val="000000"/>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1 048 202</w:t>
            </w:r>
          </w:p>
        </w:tc>
        <w:tc>
          <w:tcPr>
            <w:tcW w:w="1417" w:type="dxa"/>
            <w:vMerge/>
            <w:tcBorders>
              <w:top w:val="nil"/>
              <w:left w:val="nil"/>
              <w:bottom w:val="single" w:sz="8" w:space="0" w:color="000000"/>
              <w:right w:val="single" w:sz="8" w:space="0" w:color="auto"/>
            </w:tcBorders>
            <w:vAlign w:val="center"/>
            <w:hideMark/>
          </w:tcPr>
          <w:p w:rsidR="00BB69A7" w:rsidRPr="0015722B" w:rsidRDefault="00BB69A7">
            <w:pPr>
              <w:rPr>
                <w:rFonts w:ascii="Arial" w:eastAsiaTheme="minorHAnsi" w:hAnsi="Arial" w:cs="Arial"/>
                <w:color w:val="000000"/>
                <w:sz w:val="20"/>
                <w:szCs w:val="20"/>
                <w:lang w:eastAsia="hu-HU"/>
              </w:rPr>
            </w:pPr>
          </w:p>
        </w:tc>
      </w:tr>
      <w:tr w:rsidR="00BB69A7" w:rsidTr="0006724C">
        <w:trPr>
          <w:trHeight w:val="452"/>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Helyi adóbevételek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754 532 000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754 532 000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649 694 542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86,11 %</w:t>
            </w:r>
          </w:p>
        </w:tc>
      </w:tr>
      <w:tr w:rsidR="00BB69A7" w:rsidTr="0006724C">
        <w:trPr>
          <w:trHeight w:val="310"/>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color w:val="000000"/>
                <w:sz w:val="20"/>
                <w:szCs w:val="20"/>
                <w:lang w:eastAsia="hu-HU"/>
              </w:rPr>
            </w:pPr>
            <w:r w:rsidRPr="0015722B">
              <w:rPr>
                <w:rFonts w:ascii="Arial" w:hAnsi="Arial" w:cs="Arial"/>
                <w:color w:val="000000"/>
                <w:sz w:val="20"/>
                <w:szCs w:val="20"/>
                <w:lang w:eastAsia="hu-HU"/>
              </w:rPr>
              <w:t>Átengedett (gépjárműadó) adók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sz w:val="20"/>
                <w:szCs w:val="20"/>
                <w:lang w:eastAsia="hu-HU"/>
              </w:rPr>
            </w:pPr>
            <w:r w:rsidRPr="0015722B">
              <w:rPr>
                <w:rFonts w:ascii="Arial" w:hAnsi="Arial" w:cs="Arial"/>
                <w:sz w:val="20"/>
                <w:szCs w:val="20"/>
                <w:lang w:eastAsia="hu-HU"/>
              </w:rPr>
              <w:t>1 231 502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color w:val="000000"/>
                <w:sz w:val="20"/>
                <w:szCs w:val="20"/>
                <w:lang w:eastAsia="hu-HU"/>
              </w:rPr>
            </w:pPr>
            <w:r w:rsidRPr="0015722B">
              <w:rPr>
                <w:rFonts w:ascii="Arial" w:hAnsi="Arial" w:cs="Arial"/>
                <w:sz w:val="20"/>
                <w:szCs w:val="20"/>
                <w:lang w:eastAsia="hu-HU"/>
              </w:rPr>
              <w:t>-</w:t>
            </w:r>
          </w:p>
        </w:tc>
      </w:tr>
      <w:tr w:rsidR="00BB69A7" w:rsidTr="0006724C">
        <w:trPr>
          <w:trHeight w:val="581"/>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rsidP="0050354A">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Önkormányzati adóbevételek összesen</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b/>
                <w:bCs/>
                <w:sz w:val="20"/>
                <w:szCs w:val="20"/>
                <w:lang w:eastAsia="hu-HU"/>
              </w:rPr>
            </w:pPr>
            <w:r w:rsidRPr="0015722B">
              <w:rPr>
                <w:rFonts w:ascii="Arial" w:hAnsi="Arial" w:cs="Arial"/>
                <w:b/>
                <w:bCs/>
                <w:sz w:val="20"/>
                <w:szCs w:val="20"/>
                <w:lang w:eastAsia="hu-HU"/>
              </w:rPr>
              <w:t>754 532 000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b/>
                <w:bCs/>
                <w:color w:val="000000"/>
                <w:sz w:val="20"/>
                <w:szCs w:val="20"/>
                <w:lang w:eastAsia="hu-HU"/>
              </w:rPr>
            </w:pPr>
            <w:r w:rsidRPr="0015722B">
              <w:rPr>
                <w:rFonts w:ascii="Arial" w:hAnsi="Arial" w:cs="Arial"/>
                <w:b/>
                <w:bCs/>
                <w:sz w:val="20"/>
                <w:szCs w:val="20"/>
                <w:lang w:eastAsia="hu-HU"/>
              </w:rPr>
              <w:t>754 532 000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b/>
                <w:bCs/>
                <w:color w:val="000000"/>
                <w:sz w:val="20"/>
                <w:szCs w:val="20"/>
                <w:lang w:eastAsia="hu-HU"/>
              </w:rPr>
            </w:pPr>
            <w:r w:rsidRPr="0015722B">
              <w:rPr>
                <w:rFonts w:ascii="Arial" w:hAnsi="Arial" w:cs="Arial"/>
                <w:b/>
                <w:bCs/>
                <w:sz w:val="20"/>
                <w:szCs w:val="20"/>
                <w:lang w:eastAsia="hu-HU"/>
              </w:rPr>
              <w:t>649 698 142</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B69A7" w:rsidRPr="0015722B" w:rsidRDefault="00BB69A7">
            <w:pPr>
              <w:jc w:val="right"/>
              <w:rPr>
                <w:rFonts w:ascii="Arial" w:hAnsi="Arial" w:cs="Arial"/>
                <w:b/>
                <w:bCs/>
                <w:color w:val="000000"/>
                <w:sz w:val="20"/>
                <w:szCs w:val="20"/>
                <w:lang w:eastAsia="hu-HU"/>
              </w:rPr>
            </w:pPr>
            <w:r w:rsidRPr="0015722B">
              <w:rPr>
                <w:rFonts w:ascii="Arial" w:hAnsi="Arial" w:cs="Arial"/>
                <w:b/>
                <w:bCs/>
                <w:sz w:val="20"/>
                <w:szCs w:val="20"/>
                <w:lang w:eastAsia="hu-HU"/>
              </w:rPr>
              <w:t>86,11 %</w:t>
            </w:r>
          </w:p>
        </w:tc>
      </w:tr>
      <w:tr w:rsidR="00FC428D" w:rsidRPr="003635C0" w:rsidTr="0006724C">
        <w:trPr>
          <w:trHeight w:val="581"/>
        </w:trPr>
        <w:tc>
          <w:tcPr>
            <w:tcW w:w="317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tcPr>
          <w:p w:rsidR="00FC428D" w:rsidRPr="0015722B" w:rsidRDefault="00FC428D" w:rsidP="0050354A">
            <w:pPr>
              <w:jc w:val="center"/>
              <w:rPr>
                <w:rFonts w:ascii="Arial" w:hAnsi="Arial" w:cs="Arial"/>
                <w:b/>
                <w:bCs/>
                <w:color w:val="FF0000"/>
                <w:sz w:val="20"/>
                <w:szCs w:val="20"/>
                <w:lang w:eastAsia="hu-HU"/>
              </w:rPr>
            </w:pPr>
            <w:r w:rsidRPr="0015722B">
              <w:rPr>
                <w:rFonts w:ascii="Arial" w:hAnsi="Arial" w:cs="Arial"/>
                <w:b/>
                <w:bCs/>
                <w:color w:val="FF0000"/>
                <w:sz w:val="20"/>
                <w:szCs w:val="20"/>
                <w:lang w:eastAsia="hu-HU"/>
              </w:rPr>
              <w:t>Iparűzési adó utáni állami támogatás</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C428D" w:rsidRPr="0015722B" w:rsidRDefault="00FC428D" w:rsidP="00517464">
            <w:pPr>
              <w:jc w:val="right"/>
              <w:rPr>
                <w:rFonts w:ascii="Arial" w:hAnsi="Arial" w:cs="Arial"/>
                <w:b/>
                <w:bCs/>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C428D" w:rsidRPr="0015722B" w:rsidRDefault="00FC428D" w:rsidP="00517464">
            <w:pPr>
              <w:jc w:val="right"/>
              <w:rPr>
                <w:rFonts w:ascii="Arial" w:hAnsi="Arial" w:cs="Arial"/>
                <w:b/>
                <w:bCs/>
                <w:sz w:val="20"/>
                <w:szCs w:val="20"/>
                <w:lang w:eastAsia="hu-HU"/>
              </w:rPr>
            </w:pP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C428D" w:rsidRPr="0015722B" w:rsidRDefault="00FC428D" w:rsidP="00517464">
            <w:pPr>
              <w:jc w:val="right"/>
              <w:rPr>
                <w:rFonts w:ascii="Arial" w:hAnsi="Arial" w:cs="Arial"/>
                <w:b/>
                <w:bCs/>
                <w:sz w:val="20"/>
                <w:szCs w:val="20"/>
                <w:lang w:eastAsia="hu-HU"/>
              </w:rPr>
            </w:pPr>
            <w:r w:rsidRPr="0015722B">
              <w:rPr>
                <w:rFonts w:ascii="Arial" w:hAnsi="Arial" w:cs="Arial"/>
                <w:b/>
                <w:bCs/>
                <w:color w:val="FF0000"/>
                <w:sz w:val="20"/>
                <w:szCs w:val="20"/>
                <w:lang w:eastAsia="hu-HU"/>
              </w:rPr>
              <w:t>176.643.075</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FC428D" w:rsidRPr="0015722B" w:rsidRDefault="00FC428D" w:rsidP="00517464">
            <w:pPr>
              <w:jc w:val="right"/>
              <w:rPr>
                <w:rFonts w:ascii="Arial" w:hAnsi="Arial" w:cs="Arial"/>
                <w:b/>
                <w:bCs/>
                <w:sz w:val="20"/>
                <w:szCs w:val="20"/>
                <w:lang w:eastAsia="hu-HU"/>
              </w:rPr>
            </w:pPr>
          </w:p>
        </w:tc>
      </w:tr>
    </w:tbl>
    <w:p w:rsidR="00BB69A7" w:rsidRDefault="00BB69A7" w:rsidP="00E6080B">
      <w:pPr>
        <w:jc w:val="both"/>
        <w:rPr>
          <w:rFonts w:ascii="Arial" w:hAnsi="Arial" w:cs="Arial"/>
        </w:rPr>
      </w:pPr>
    </w:p>
    <w:p w:rsidR="00BB69A7" w:rsidRDefault="00BB69A7" w:rsidP="00E6080B">
      <w:pPr>
        <w:jc w:val="both"/>
        <w:rPr>
          <w:rFonts w:ascii="Arial" w:hAnsi="Arial" w:cs="Arial"/>
        </w:rPr>
      </w:pPr>
    </w:p>
    <w:p w:rsidR="00316EE0" w:rsidRDefault="00316EE0" w:rsidP="0006724C">
      <w:pPr>
        <w:contextualSpacing/>
        <w:jc w:val="both"/>
        <w:rPr>
          <w:rFonts w:ascii="Arial" w:hAnsi="Arial" w:cs="Arial"/>
        </w:rPr>
      </w:pPr>
      <w:r>
        <w:rPr>
          <w:rFonts w:ascii="Arial" w:hAnsi="Arial" w:cs="Arial"/>
        </w:rPr>
        <w:t xml:space="preserve">Hévíz Város Önkormányzat működési </w:t>
      </w:r>
      <w:r w:rsidRPr="003635C0">
        <w:rPr>
          <w:rFonts w:ascii="Arial" w:hAnsi="Arial" w:cs="Arial"/>
        </w:rPr>
        <w:t>bevételeinek 43</w:t>
      </w:r>
      <w:r>
        <w:rPr>
          <w:rFonts w:ascii="Arial" w:hAnsi="Arial" w:cs="Arial"/>
        </w:rPr>
        <w:t xml:space="preserve"> %-át a közhatalmi bevételek biztosítják, ezen belül a helyi adók </w:t>
      </w:r>
      <w:r w:rsidRPr="003635C0">
        <w:rPr>
          <w:rFonts w:ascii="Arial" w:hAnsi="Arial" w:cs="Arial"/>
        </w:rPr>
        <w:t xml:space="preserve">96 </w:t>
      </w:r>
      <w:r>
        <w:rPr>
          <w:rFonts w:ascii="Arial" w:hAnsi="Arial" w:cs="Arial"/>
        </w:rPr>
        <w:t xml:space="preserve">%-ot (építményadó, idegenforgalmi adó, iparűzési adó); bírságok, pótlékok és egyéb sajátos bevételek </w:t>
      </w:r>
      <w:r w:rsidRPr="003635C0">
        <w:rPr>
          <w:rFonts w:ascii="Arial" w:hAnsi="Arial" w:cs="Arial"/>
        </w:rPr>
        <w:t>4 %</w:t>
      </w:r>
      <w:r>
        <w:rPr>
          <w:rFonts w:ascii="Arial" w:hAnsi="Arial" w:cs="Arial"/>
        </w:rPr>
        <w:t>-ot tesznek ki.</w:t>
      </w:r>
    </w:p>
    <w:p w:rsidR="008B0D1E" w:rsidRDefault="008B0D1E" w:rsidP="00F921C6">
      <w:pPr>
        <w:spacing w:after="0"/>
        <w:ind w:firstLine="708"/>
        <w:jc w:val="both"/>
        <w:rPr>
          <w:rFonts w:ascii="Arial" w:hAnsi="Arial" w:cs="Arial"/>
          <w:b/>
        </w:rPr>
      </w:pPr>
    </w:p>
    <w:p w:rsidR="00BB0335" w:rsidRDefault="008C6892" w:rsidP="00F921C6">
      <w:pPr>
        <w:spacing w:after="0"/>
        <w:ind w:firstLine="708"/>
        <w:jc w:val="both"/>
        <w:rPr>
          <w:rFonts w:ascii="Arial" w:hAnsi="Arial" w:cs="Arial"/>
          <w:b/>
        </w:rPr>
      </w:pPr>
      <w:r w:rsidRPr="00C82323">
        <w:rPr>
          <w:rFonts w:ascii="Arial" w:hAnsi="Arial" w:cs="Arial"/>
          <w:b/>
        </w:rPr>
        <w:t>Az adóbevételein</w:t>
      </w:r>
      <w:r w:rsidR="00254F0D" w:rsidRPr="00C82323">
        <w:rPr>
          <w:rFonts w:ascii="Arial" w:hAnsi="Arial" w:cs="Arial"/>
          <w:b/>
        </w:rPr>
        <w:t>k</w:t>
      </w:r>
      <w:r w:rsidRPr="00C82323">
        <w:rPr>
          <w:rFonts w:ascii="Arial" w:hAnsi="Arial" w:cs="Arial"/>
          <w:b/>
        </w:rPr>
        <w:t xml:space="preserve"> az elmúlt </w:t>
      </w:r>
      <w:r w:rsidR="005E7441">
        <w:rPr>
          <w:rFonts w:ascii="Arial" w:hAnsi="Arial" w:cs="Arial"/>
          <w:b/>
        </w:rPr>
        <w:t>4</w:t>
      </w:r>
      <w:r w:rsidRPr="00C82323">
        <w:rPr>
          <w:rFonts w:ascii="Arial" w:hAnsi="Arial" w:cs="Arial"/>
          <w:b/>
        </w:rPr>
        <w:t xml:space="preserve"> évben az alábbiak szerint alakultak:</w:t>
      </w:r>
    </w:p>
    <w:p w:rsidR="00555725" w:rsidRDefault="00555725" w:rsidP="00F921C6">
      <w:pPr>
        <w:spacing w:after="0"/>
        <w:ind w:firstLine="708"/>
        <w:jc w:val="both"/>
        <w:rPr>
          <w:rFonts w:ascii="Arial" w:hAnsi="Arial" w:cs="Arial"/>
          <w:b/>
        </w:rPr>
      </w:pPr>
    </w:p>
    <w:tbl>
      <w:tblPr>
        <w:tblW w:w="9635" w:type="dxa"/>
        <w:tblCellMar>
          <w:left w:w="0" w:type="dxa"/>
          <w:right w:w="0" w:type="dxa"/>
        </w:tblCellMar>
        <w:tblLook w:val="04A0" w:firstRow="1" w:lastRow="0" w:firstColumn="1" w:lastColumn="0" w:noHBand="0" w:noVBand="1"/>
      </w:tblPr>
      <w:tblGrid>
        <w:gridCol w:w="2263"/>
        <w:gridCol w:w="1843"/>
        <w:gridCol w:w="1843"/>
        <w:gridCol w:w="1843"/>
        <w:gridCol w:w="1843"/>
      </w:tblGrid>
      <w:tr w:rsidR="00555725" w:rsidTr="00555725">
        <w:trPr>
          <w:trHeight w:val="300"/>
        </w:trPr>
        <w:tc>
          <w:tcPr>
            <w:tcW w:w="226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 xml:space="preserve">Önkormányzati </w:t>
            </w:r>
          </w:p>
          <w:p w:rsidR="00555725" w:rsidRDefault="00555725" w:rsidP="00555725">
            <w:pPr>
              <w:spacing w:after="0"/>
              <w:rPr>
                <w:rFonts w:ascii="Arial" w:hAnsi="Arial" w:cs="Arial"/>
                <w:lang w:eastAsia="hu-HU"/>
              </w:rPr>
            </w:pPr>
            <w:r>
              <w:rPr>
                <w:rFonts w:ascii="Arial" w:hAnsi="Arial" w:cs="Arial"/>
                <w:lang w:eastAsia="hu-HU"/>
              </w:rPr>
              <w:t>adóbevételek</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55725" w:rsidRDefault="00555725" w:rsidP="00555725">
            <w:pPr>
              <w:spacing w:after="0"/>
              <w:jc w:val="center"/>
              <w:rPr>
                <w:rFonts w:ascii="Arial" w:hAnsi="Arial" w:cs="Arial"/>
                <w:b/>
                <w:bCs/>
                <w:lang w:eastAsia="hu-HU"/>
              </w:rPr>
            </w:pPr>
          </w:p>
          <w:p w:rsidR="00555725" w:rsidRDefault="00555725" w:rsidP="00555725">
            <w:pPr>
              <w:spacing w:after="0"/>
              <w:jc w:val="center"/>
              <w:rPr>
                <w:rFonts w:ascii="Arial" w:hAnsi="Arial" w:cs="Arial"/>
                <w:b/>
                <w:bCs/>
                <w:lang w:eastAsia="hu-HU"/>
              </w:rPr>
            </w:pPr>
            <w:r>
              <w:rPr>
                <w:rFonts w:ascii="Arial" w:hAnsi="Arial" w:cs="Arial"/>
                <w:b/>
                <w:bCs/>
                <w:lang w:eastAsia="hu-HU"/>
              </w:rPr>
              <w:t>2018.</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55725" w:rsidRDefault="00555725" w:rsidP="00555725">
            <w:pPr>
              <w:spacing w:after="0"/>
              <w:jc w:val="center"/>
              <w:rPr>
                <w:rFonts w:ascii="Arial" w:hAnsi="Arial" w:cs="Arial"/>
                <w:b/>
                <w:bCs/>
                <w:lang w:eastAsia="hu-HU"/>
              </w:rPr>
            </w:pPr>
          </w:p>
          <w:p w:rsidR="00555725" w:rsidRDefault="00555725" w:rsidP="00555725">
            <w:pPr>
              <w:spacing w:after="0"/>
              <w:jc w:val="center"/>
              <w:rPr>
                <w:rFonts w:ascii="Arial" w:hAnsi="Arial" w:cs="Arial"/>
                <w:b/>
                <w:bCs/>
                <w:lang w:eastAsia="hu-HU"/>
              </w:rPr>
            </w:pPr>
            <w:r>
              <w:rPr>
                <w:rFonts w:ascii="Arial" w:hAnsi="Arial" w:cs="Arial"/>
                <w:b/>
                <w:bCs/>
                <w:lang w:eastAsia="hu-HU"/>
              </w:rPr>
              <w:t>2019.</w:t>
            </w:r>
          </w:p>
        </w:tc>
        <w:tc>
          <w:tcPr>
            <w:tcW w:w="184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55725" w:rsidRDefault="00555725" w:rsidP="00555725">
            <w:pPr>
              <w:spacing w:after="0"/>
              <w:jc w:val="center"/>
              <w:rPr>
                <w:rFonts w:ascii="Arial" w:hAnsi="Arial" w:cs="Arial"/>
                <w:b/>
                <w:bCs/>
                <w:lang w:eastAsia="hu-HU"/>
              </w:rPr>
            </w:pPr>
          </w:p>
          <w:p w:rsidR="00555725" w:rsidRDefault="00555725" w:rsidP="00555725">
            <w:pPr>
              <w:spacing w:after="0"/>
              <w:jc w:val="center"/>
              <w:rPr>
                <w:rFonts w:ascii="Arial" w:hAnsi="Arial" w:cs="Arial"/>
                <w:b/>
                <w:bCs/>
                <w:lang w:eastAsia="hu-HU"/>
              </w:rPr>
            </w:pPr>
            <w:r>
              <w:rPr>
                <w:rFonts w:ascii="Arial" w:hAnsi="Arial" w:cs="Arial"/>
                <w:b/>
                <w:bCs/>
                <w:lang w:eastAsia="hu-HU"/>
              </w:rPr>
              <w:t>2020.</w:t>
            </w:r>
          </w:p>
        </w:tc>
        <w:tc>
          <w:tcPr>
            <w:tcW w:w="18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center"/>
              <w:rPr>
                <w:rFonts w:ascii="Arial" w:hAnsi="Arial" w:cs="Arial"/>
                <w:b/>
                <w:bCs/>
                <w:lang w:eastAsia="hu-HU"/>
              </w:rPr>
            </w:pPr>
            <w:r>
              <w:rPr>
                <w:rFonts w:ascii="Arial" w:hAnsi="Arial" w:cs="Arial"/>
                <w:b/>
                <w:bCs/>
                <w:lang w:eastAsia="hu-HU"/>
              </w:rPr>
              <w:t>2021.</w:t>
            </w:r>
          </w:p>
        </w:tc>
      </w:tr>
      <w:tr w:rsidR="00555725" w:rsidTr="00555725">
        <w:trPr>
          <w:trHeight w:val="300"/>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építményadó</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263 272 988</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233 756 800</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233 684 543</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256 746 620</w:t>
            </w:r>
          </w:p>
        </w:tc>
      </w:tr>
      <w:tr w:rsidR="00555725" w:rsidTr="00555725">
        <w:trPr>
          <w:trHeight w:val="300"/>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idegenforgalmi adó</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610 672 214</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633 972 446</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130 401 790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268 122 509</w:t>
            </w:r>
          </w:p>
        </w:tc>
      </w:tr>
      <w:tr w:rsidR="00555725" w:rsidTr="00555725">
        <w:trPr>
          <w:trHeight w:val="300"/>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iparűzési adó</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507 597 015</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528 642 912</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457 356 951</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121 485 834</w:t>
            </w:r>
          </w:p>
        </w:tc>
      </w:tr>
      <w:tr w:rsidR="00555725" w:rsidTr="00555725">
        <w:trPr>
          <w:trHeight w:val="300"/>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 xml:space="preserve">gépjárműadó </w:t>
            </w:r>
          </w:p>
          <w:p w:rsidR="00555725" w:rsidRDefault="00555725" w:rsidP="00555725">
            <w:pPr>
              <w:spacing w:after="0"/>
              <w:rPr>
                <w:rFonts w:ascii="Arial" w:hAnsi="Arial" w:cs="Arial"/>
                <w:lang w:eastAsia="hu-HU"/>
              </w:rPr>
            </w:pPr>
            <w:r>
              <w:rPr>
                <w:rFonts w:ascii="Arial" w:hAnsi="Arial" w:cs="Arial"/>
                <w:lang w:eastAsia="hu-HU"/>
              </w:rPr>
              <w:t>(önk. maradó)</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xml:space="preserve">     </w:t>
            </w:r>
          </w:p>
          <w:p w:rsidR="00555725" w:rsidRDefault="00555725" w:rsidP="00555725">
            <w:pPr>
              <w:spacing w:after="0"/>
              <w:jc w:val="right"/>
              <w:rPr>
                <w:rFonts w:ascii="Arial" w:hAnsi="Arial" w:cs="Arial"/>
                <w:lang w:eastAsia="hu-HU"/>
              </w:rPr>
            </w:pPr>
            <w:r>
              <w:rPr>
                <w:rFonts w:ascii="Arial" w:hAnsi="Arial" w:cs="Arial"/>
                <w:lang w:eastAsia="hu-HU"/>
              </w:rPr>
              <w:t>  17 796 858</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xml:space="preserve">     </w:t>
            </w:r>
          </w:p>
          <w:p w:rsidR="00555725" w:rsidRDefault="00555725" w:rsidP="00555725">
            <w:pPr>
              <w:spacing w:after="0"/>
              <w:jc w:val="right"/>
              <w:rPr>
                <w:rFonts w:ascii="Arial" w:hAnsi="Arial" w:cs="Arial"/>
                <w:lang w:eastAsia="hu-HU"/>
              </w:rPr>
            </w:pPr>
            <w:r>
              <w:rPr>
                <w:rFonts w:ascii="Arial" w:hAnsi="Arial" w:cs="Arial"/>
                <w:lang w:eastAsia="hu-HU"/>
              </w:rPr>
              <w:t>18 866 751</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0</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0</w:t>
            </w:r>
          </w:p>
        </w:tc>
      </w:tr>
      <w:tr w:rsidR="00555725" w:rsidTr="00555725">
        <w:trPr>
          <w:trHeight w:val="315"/>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pótlék</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577 302</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1 595 298</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3 746 896</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2 291 377</w:t>
            </w:r>
          </w:p>
        </w:tc>
      </w:tr>
      <w:tr w:rsidR="00555725" w:rsidTr="00555725">
        <w:trPr>
          <w:trHeight w:val="300"/>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lang w:eastAsia="hu-HU"/>
              </w:rPr>
            </w:pPr>
            <w:r>
              <w:rPr>
                <w:rFonts w:ascii="Arial" w:hAnsi="Arial" w:cs="Arial"/>
                <w:lang w:eastAsia="hu-HU"/>
              </w:rPr>
              <w:t>bírság</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1 042 115</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607 680</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    2 846 858</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lang w:eastAsia="hu-HU"/>
              </w:rPr>
            </w:pPr>
            <w:r>
              <w:rPr>
                <w:rFonts w:ascii="Arial" w:hAnsi="Arial" w:cs="Arial"/>
                <w:lang w:eastAsia="hu-HU"/>
              </w:rPr>
              <w:t>1 048 202</w:t>
            </w:r>
          </w:p>
        </w:tc>
      </w:tr>
      <w:tr w:rsidR="00555725" w:rsidTr="00555725">
        <w:trPr>
          <w:trHeight w:val="315"/>
        </w:trPr>
        <w:tc>
          <w:tcPr>
            <w:tcW w:w="226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rPr>
                <w:rFonts w:ascii="Arial" w:hAnsi="Arial" w:cs="Arial"/>
                <w:b/>
                <w:bCs/>
                <w:lang w:eastAsia="hu-HU"/>
              </w:rPr>
            </w:pPr>
            <w:r>
              <w:rPr>
                <w:rFonts w:ascii="Arial" w:hAnsi="Arial" w:cs="Arial"/>
                <w:b/>
                <w:bCs/>
                <w:lang w:eastAsia="hu-HU"/>
              </w:rPr>
              <w:t>összesen:</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tcPr>
          <w:p w:rsidR="00555725" w:rsidRDefault="00555725" w:rsidP="00555725">
            <w:pPr>
              <w:spacing w:after="0"/>
              <w:jc w:val="right"/>
              <w:rPr>
                <w:rFonts w:ascii="Arial" w:hAnsi="Arial" w:cs="Arial"/>
                <w:lang w:eastAsia="hu-HU"/>
              </w:rPr>
            </w:pPr>
          </w:p>
          <w:p w:rsidR="00555725" w:rsidRDefault="00555725" w:rsidP="00555725">
            <w:pPr>
              <w:spacing w:after="0"/>
              <w:jc w:val="right"/>
              <w:rPr>
                <w:rFonts w:ascii="Arial" w:hAnsi="Arial" w:cs="Arial"/>
                <w:b/>
                <w:bCs/>
                <w:lang w:eastAsia="hu-HU"/>
              </w:rPr>
            </w:pPr>
            <w:r>
              <w:rPr>
                <w:rFonts w:ascii="Arial" w:hAnsi="Arial" w:cs="Arial"/>
                <w:b/>
                <w:bCs/>
                <w:lang w:eastAsia="hu-HU"/>
              </w:rPr>
              <w:t>1 400 958 492</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tcPr>
          <w:p w:rsidR="00555725" w:rsidRDefault="00555725" w:rsidP="00555725">
            <w:pPr>
              <w:spacing w:after="0"/>
              <w:jc w:val="right"/>
              <w:rPr>
                <w:rFonts w:ascii="Arial" w:hAnsi="Arial" w:cs="Arial"/>
                <w:b/>
                <w:bCs/>
                <w:lang w:eastAsia="hu-HU"/>
              </w:rPr>
            </w:pPr>
          </w:p>
          <w:p w:rsidR="00555725" w:rsidRDefault="00555725" w:rsidP="00555725">
            <w:pPr>
              <w:spacing w:after="0"/>
              <w:jc w:val="right"/>
              <w:rPr>
                <w:rFonts w:ascii="Arial" w:hAnsi="Arial" w:cs="Arial"/>
                <w:b/>
                <w:bCs/>
                <w:lang w:eastAsia="hu-HU"/>
              </w:rPr>
            </w:pPr>
            <w:r>
              <w:rPr>
                <w:rFonts w:ascii="Arial" w:hAnsi="Arial" w:cs="Arial"/>
                <w:b/>
                <w:bCs/>
                <w:lang w:eastAsia="hu-HU"/>
              </w:rPr>
              <w:t>1 417 441 887</w:t>
            </w:r>
          </w:p>
        </w:tc>
        <w:tc>
          <w:tcPr>
            <w:tcW w:w="184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55725" w:rsidRDefault="00555725" w:rsidP="00555725">
            <w:pPr>
              <w:spacing w:after="0"/>
              <w:jc w:val="right"/>
              <w:rPr>
                <w:rFonts w:ascii="Arial" w:hAnsi="Arial" w:cs="Arial"/>
                <w:b/>
                <w:bCs/>
                <w:lang w:eastAsia="hu-HU"/>
              </w:rPr>
            </w:pPr>
            <w:r>
              <w:rPr>
                <w:rFonts w:ascii="Arial" w:hAnsi="Arial" w:cs="Arial"/>
                <w:b/>
                <w:bCs/>
                <w:color w:val="000000"/>
                <w:lang w:eastAsia="hu-HU"/>
              </w:rPr>
              <w:t>828 037 038</w:t>
            </w:r>
          </w:p>
        </w:tc>
        <w:tc>
          <w:tcPr>
            <w:tcW w:w="18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55725" w:rsidRDefault="00555725" w:rsidP="00555725">
            <w:pPr>
              <w:spacing w:after="0"/>
              <w:jc w:val="right"/>
              <w:rPr>
                <w:rFonts w:ascii="Arial" w:hAnsi="Arial" w:cs="Arial"/>
                <w:b/>
                <w:bCs/>
                <w:lang w:eastAsia="hu-HU"/>
              </w:rPr>
            </w:pPr>
            <w:r>
              <w:rPr>
                <w:rFonts w:ascii="Arial" w:hAnsi="Arial" w:cs="Arial"/>
                <w:b/>
                <w:bCs/>
                <w:lang w:eastAsia="hu-HU"/>
              </w:rPr>
              <w:t>649 698 142</w:t>
            </w:r>
          </w:p>
        </w:tc>
      </w:tr>
    </w:tbl>
    <w:p w:rsidR="00555725" w:rsidRDefault="00555725" w:rsidP="00F921C6">
      <w:pPr>
        <w:spacing w:after="0"/>
        <w:ind w:firstLine="708"/>
        <w:jc w:val="both"/>
        <w:rPr>
          <w:rFonts w:ascii="Arial" w:hAnsi="Arial" w:cs="Arial"/>
          <w:b/>
        </w:rPr>
      </w:pPr>
    </w:p>
    <w:bookmarkEnd w:id="0"/>
    <w:p w:rsidR="00E6080B" w:rsidRPr="008B0D1E" w:rsidRDefault="00E6080B" w:rsidP="0006724C">
      <w:pPr>
        <w:spacing w:afterLines="200" w:after="480"/>
        <w:contextualSpacing/>
        <w:jc w:val="both"/>
        <w:rPr>
          <w:rFonts w:ascii="Arial" w:hAnsi="Arial" w:cs="Arial"/>
        </w:rPr>
      </w:pPr>
      <w:r w:rsidRPr="008B0D1E">
        <w:rPr>
          <w:rFonts w:ascii="Arial" w:hAnsi="Arial" w:cs="Arial"/>
        </w:rPr>
        <w:t>Az önkormányzatnál maradó adóbevételek beérkezés</w:t>
      </w:r>
      <w:r w:rsidR="005E7441">
        <w:rPr>
          <w:rFonts w:ascii="Arial" w:hAnsi="Arial" w:cs="Arial"/>
        </w:rPr>
        <w:t>é</w:t>
      </w:r>
      <w:r w:rsidRPr="008B0D1E">
        <w:rPr>
          <w:rFonts w:ascii="Arial" w:hAnsi="Arial" w:cs="Arial"/>
        </w:rPr>
        <w:t xml:space="preserve">nek zöme az első és harmadik negyedévhez köthető, hiszen a március 15-ei és szeptember 15-ei befizetési határidők ekkor járnak le. </w:t>
      </w:r>
    </w:p>
    <w:p w:rsidR="00E6080B" w:rsidRDefault="00E6080B" w:rsidP="0006724C">
      <w:pPr>
        <w:spacing w:afterLines="200" w:after="480"/>
        <w:contextualSpacing/>
        <w:jc w:val="both"/>
        <w:rPr>
          <w:rFonts w:ascii="Arial" w:hAnsi="Arial" w:cs="Arial"/>
        </w:rPr>
      </w:pPr>
      <w:r w:rsidRPr="008B0D1E">
        <w:rPr>
          <w:rFonts w:ascii="Arial" w:hAnsi="Arial" w:cs="Arial"/>
        </w:rPr>
        <w:t xml:space="preserve">Jellemzően a követeléskezelési és végrehajtási eljárások eredményei is a második félévben jelennek meg a teljesülések között. </w:t>
      </w:r>
    </w:p>
    <w:p w:rsidR="00B14FBD" w:rsidRDefault="00B14FBD" w:rsidP="00E6080B">
      <w:pPr>
        <w:spacing w:after="0"/>
        <w:jc w:val="both"/>
        <w:rPr>
          <w:rFonts w:ascii="Arial" w:hAnsi="Arial" w:cs="Arial"/>
        </w:rPr>
      </w:pPr>
    </w:p>
    <w:p w:rsidR="0050354A" w:rsidRDefault="0050354A" w:rsidP="00E6080B">
      <w:pPr>
        <w:spacing w:after="0"/>
        <w:jc w:val="both"/>
        <w:rPr>
          <w:rFonts w:ascii="Arial" w:hAnsi="Arial" w:cs="Arial"/>
        </w:rPr>
      </w:pPr>
    </w:p>
    <w:p w:rsidR="00B14FBD" w:rsidRDefault="00756B05" w:rsidP="00756B05">
      <w:pPr>
        <w:spacing w:after="0"/>
        <w:jc w:val="center"/>
        <w:rPr>
          <w:rFonts w:ascii="Arial" w:hAnsi="Arial" w:cs="Arial"/>
        </w:rPr>
      </w:pPr>
      <w:r>
        <w:rPr>
          <w:rFonts w:ascii="Arial" w:hAnsi="Arial" w:cs="Arial"/>
          <w:noProof/>
        </w:rPr>
        <w:drawing>
          <wp:inline distT="0" distB="0" distL="0" distR="0" wp14:anchorId="692D3C4C" wp14:editId="076F0E8D">
            <wp:extent cx="5486400" cy="3000375"/>
            <wp:effectExtent l="0" t="0" r="0" b="952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F05B8" w:rsidRPr="00B14FBD" w:rsidRDefault="001F05B8" w:rsidP="00756B05">
      <w:pPr>
        <w:pStyle w:val="Listaszerbekezds"/>
        <w:spacing w:after="120" w:line="276" w:lineRule="auto"/>
        <w:ind w:left="1068"/>
        <w:jc w:val="center"/>
        <w:rPr>
          <w:rFonts w:ascii="Arial" w:hAnsi="Arial" w:cs="Arial"/>
          <w:b/>
        </w:rPr>
      </w:pPr>
    </w:p>
    <w:p w:rsidR="00C90C8F" w:rsidRPr="00C82323" w:rsidRDefault="00C90C8F" w:rsidP="00BB6EE0">
      <w:pPr>
        <w:pStyle w:val="Listaszerbekezds"/>
        <w:spacing w:after="120" w:line="276" w:lineRule="auto"/>
        <w:ind w:left="360"/>
        <w:jc w:val="both"/>
        <w:rPr>
          <w:rFonts w:ascii="Arial" w:hAnsi="Arial" w:cs="Arial"/>
          <w:b/>
        </w:rPr>
      </w:pPr>
    </w:p>
    <w:p w:rsidR="007907A0" w:rsidRDefault="007907A0" w:rsidP="00BB6EE0">
      <w:pPr>
        <w:pStyle w:val="Listaszerbekezds"/>
        <w:spacing w:after="0" w:line="276" w:lineRule="auto"/>
        <w:ind w:left="0"/>
        <w:jc w:val="both"/>
        <w:rPr>
          <w:rFonts w:ascii="Arial" w:hAnsi="Arial" w:cs="Arial"/>
        </w:rPr>
      </w:pPr>
    </w:p>
    <w:p w:rsidR="00B02F5A" w:rsidRDefault="00B02F5A" w:rsidP="007907A0">
      <w:pPr>
        <w:pStyle w:val="Listaszerbekezds"/>
        <w:spacing w:after="0" w:line="276" w:lineRule="auto"/>
        <w:ind w:left="0"/>
        <w:jc w:val="both"/>
        <w:rPr>
          <w:rFonts w:ascii="Arial" w:hAnsi="Arial" w:cs="Arial"/>
        </w:rPr>
      </w:pPr>
    </w:p>
    <w:p w:rsidR="00756B05" w:rsidRDefault="00756B05" w:rsidP="00756B05">
      <w:pPr>
        <w:spacing w:after="0"/>
        <w:jc w:val="both"/>
        <w:rPr>
          <w:rFonts w:ascii="Arial" w:hAnsi="Arial" w:cs="Arial"/>
        </w:rPr>
      </w:pPr>
    </w:p>
    <w:p w:rsidR="00756B05" w:rsidRDefault="00756B05" w:rsidP="00756B05">
      <w:pPr>
        <w:spacing w:after="0"/>
        <w:ind w:left="360"/>
        <w:jc w:val="both"/>
        <w:rPr>
          <w:rFonts w:ascii="Arial" w:hAnsi="Arial" w:cs="Arial"/>
          <w:b/>
        </w:rPr>
      </w:pPr>
      <w:r>
        <w:rPr>
          <w:rFonts w:ascii="Arial" w:hAnsi="Arial" w:cs="Arial"/>
          <w:b/>
        </w:rPr>
        <w:t xml:space="preserve"> </w:t>
      </w:r>
    </w:p>
    <w:p w:rsidR="0050354A" w:rsidRDefault="0050354A" w:rsidP="00756B05">
      <w:pPr>
        <w:spacing w:after="0"/>
        <w:ind w:left="360"/>
        <w:jc w:val="both"/>
        <w:rPr>
          <w:rFonts w:ascii="Arial" w:hAnsi="Arial" w:cs="Arial"/>
          <w:b/>
        </w:rPr>
      </w:pPr>
    </w:p>
    <w:p w:rsidR="0050354A" w:rsidRDefault="0050354A" w:rsidP="00756B05">
      <w:pPr>
        <w:spacing w:after="0"/>
        <w:ind w:left="360"/>
        <w:jc w:val="both"/>
        <w:rPr>
          <w:rFonts w:ascii="Arial" w:hAnsi="Arial" w:cs="Arial"/>
          <w:b/>
        </w:rPr>
      </w:pPr>
    </w:p>
    <w:p w:rsidR="00756B05" w:rsidRDefault="00756B05" w:rsidP="00756B05">
      <w:pPr>
        <w:pStyle w:val="Listaszerbekezds"/>
        <w:numPr>
          <w:ilvl w:val="0"/>
          <w:numId w:val="3"/>
        </w:numPr>
        <w:spacing w:after="0"/>
        <w:jc w:val="both"/>
        <w:rPr>
          <w:rFonts w:ascii="Arial" w:hAnsi="Arial" w:cs="Arial"/>
          <w:b/>
        </w:rPr>
      </w:pPr>
      <w:r w:rsidRPr="00756B05">
        <w:rPr>
          <w:rFonts w:ascii="Arial" w:hAnsi="Arial" w:cs="Arial"/>
          <w:b/>
        </w:rPr>
        <w:t>Adóigazgatási feladatok</w:t>
      </w:r>
    </w:p>
    <w:p w:rsidR="00756B05" w:rsidRPr="00756B05" w:rsidRDefault="00756B05" w:rsidP="00756B05">
      <w:pPr>
        <w:pStyle w:val="Listaszerbekezds"/>
        <w:spacing w:after="0"/>
        <w:ind w:left="1035"/>
        <w:jc w:val="both"/>
        <w:rPr>
          <w:rFonts w:ascii="Arial" w:hAnsi="Arial" w:cs="Arial"/>
          <w:b/>
        </w:rPr>
      </w:pPr>
    </w:p>
    <w:p w:rsidR="007907A0" w:rsidRPr="00C82323" w:rsidRDefault="007907A0" w:rsidP="0006724C">
      <w:pPr>
        <w:pStyle w:val="Listaszerbekezds"/>
        <w:spacing w:after="200" w:line="276" w:lineRule="auto"/>
        <w:ind w:left="0"/>
        <w:jc w:val="both"/>
        <w:rPr>
          <w:rFonts w:ascii="Arial" w:hAnsi="Arial" w:cs="Arial"/>
        </w:rPr>
      </w:pPr>
      <w:r w:rsidRPr="00C82323">
        <w:rPr>
          <w:rFonts w:ascii="Arial" w:hAnsi="Arial" w:cs="Arial"/>
        </w:rPr>
        <w:t xml:space="preserve">A feladat végrehajtása az SZMSZ alapján a Hatósági Osztály szervezeti rendszerében történik, 4 fő </w:t>
      </w:r>
      <w:r w:rsidR="00A145D5">
        <w:rPr>
          <w:rFonts w:ascii="Arial" w:hAnsi="Arial" w:cs="Arial"/>
        </w:rPr>
        <w:t>látta el a</w:t>
      </w:r>
      <w:r w:rsidR="004163BF">
        <w:rPr>
          <w:rFonts w:ascii="Arial" w:hAnsi="Arial" w:cs="Arial"/>
        </w:rPr>
        <w:t>z adóigazgatási</w:t>
      </w:r>
      <w:r w:rsidR="00A145D5">
        <w:rPr>
          <w:rFonts w:ascii="Arial" w:hAnsi="Arial" w:cs="Arial"/>
        </w:rPr>
        <w:t xml:space="preserve"> feladatokat </w:t>
      </w:r>
      <w:r w:rsidR="004163BF">
        <w:rPr>
          <w:rFonts w:ascii="Arial" w:hAnsi="Arial" w:cs="Arial"/>
        </w:rPr>
        <w:t xml:space="preserve">október 31. napjáig, majd 1 fő szociális ügyintéző kapcsolt munkakörben végez adóigazgatási feladatokat, </w:t>
      </w:r>
      <w:r w:rsidRPr="00C82323">
        <w:rPr>
          <w:rFonts w:ascii="Arial" w:hAnsi="Arial" w:cs="Arial"/>
        </w:rPr>
        <w:t xml:space="preserve">az idegenforgalmi adóellenőrzésben </w:t>
      </w:r>
      <w:r>
        <w:rPr>
          <w:rFonts w:ascii="Arial" w:hAnsi="Arial" w:cs="Arial"/>
        </w:rPr>
        <w:t xml:space="preserve">az elmúlt évben </w:t>
      </w:r>
      <w:r w:rsidR="00A145D5">
        <w:rPr>
          <w:rFonts w:ascii="Arial" w:hAnsi="Arial" w:cs="Arial"/>
        </w:rPr>
        <w:t>kizárólag</w:t>
      </w:r>
      <w:r>
        <w:rPr>
          <w:rFonts w:ascii="Arial" w:hAnsi="Arial" w:cs="Arial"/>
        </w:rPr>
        <w:t xml:space="preserve"> az osztály dolgozói vettek részt.</w:t>
      </w:r>
    </w:p>
    <w:p w:rsidR="007907A0" w:rsidRPr="00C82323" w:rsidRDefault="007907A0" w:rsidP="0006724C">
      <w:pPr>
        <w:pStyle w:val="Listaszerbekezds"/>
        <w:spacing w:after="200" w:line="276" w:lineRule="auto"/>
        <w:ind w:left="0"/>
        <w:jc w:val="both"/>
        <w:rPr>
          <w:rFonts w:ascii="Arial" w:hAnsi="Arial" w:cs="Arial"/>
        </w:rPr>
      </w:pPr>
    </w:p>
    <w:p w:rsidR="007907A0" w:rsidRDefault="007907A0" w:rsidP="0006724C">
      <w:pPr>
        <w:pStyle w:val="Listaszerbekezds"/>
        <w:spacing w:after="200" w:line="276" w:lineRule="auto"/>
        <w:ind w:left="0"/>
        <w:jc w:val="both"/>
        <w:rPr>
          <w:rFonts w:ascii="Arial" w:hAnsi="Arial" w:cs="Arial"/>
        </w:rPr>
      </w:pPr>
      <w:r w:rsidRPr="00C82323">
        <w:rPr>
          <w:rFonts w:ascii="Arial" w:hAnsi="Arial" w:cs="Arial"/>
        </w:rPr>
        <w:t>Kiemelt feladat a költségvetési egyensúly fenntartása érdekében az önkormányzat adóbevételeinek biztosítása, a hatósági ügyintézés során a jogszerűség, hatékonyság és célszerűség biztosítása.</w:t>
      </w:r>
    </w:p>
    <w:p w:rsidR="007907A0" w:rsidRPr="00C82323" w:rsidRDefault="007907A0" w:rsidP="0006724C">
      <w:pPr>
        <w:pStyle w:val="Listaszerbekezds"/>
        <w:spacing w:after="200" w:line="276" w:lineRule="auto"/>
        <w:ind w:left="0"/>
        <w:jc w:val="both"/>
        <w:rPr>
          <w:rFonts w:ascii="Arial" w:hAnsi="Arial" w:cs="Arial"/>
        </w:rPr>
      </w:pPr>
      <w:r>
        <w:rPr>
          <w:rFonts w:ascii="Arial" w:hAnsi="Arial" w:cs="Arial"/>
        </w:rPr>
        <w:t>202</w:t>
      </w:r>
      <w:r w:rsidR="004163BF">
        <w:rPr>
          <w:rFonts w:ascii="Arial" w:hAnsi="Arial" w:cs="Arial"/>
        </w:rPr>
        <w:t>1</w:t>
      </w:r>
      <w:r>
        <w:rPr>
          <w:rFonts w:ascii="Arial" w:hAnsi="Arial" w:cs="Arial"/>
        </w:rPr>
        <w:t xml:space="preserve">. évben adóigazgatási </w:t>
      </w:r>
      <w:r w:rsidR="003E2F49">
        <w:rPr>
          <w:rFonts w:ascii="Arial" w:hAnsi="Arial" w:cs="Arial"/>
        </w:rPr>
        <w:t xml:space="preserve">ügyekben </w:t>
      </w:r>
      <w:r w:rsidR="00B14FBD" w:rsidRPr="00B14FBD">
        <w:rPr>
          <w:rFonts w:ascii="Arial" w:hAnsi="Arial" w:cs="Arial"/>
        </w:rPr>
        <w:t>12187</w:t>
      </w:r>
      <w:r>
        <w:rPr>
          <w:rFonts w:ascii="Arial" w:hAnsi="Arial" w:cs="Arial"/>
        </w:rPr>
        <w:t xml:space="preserve"> </w:t>
      </w:r>
      <w:proofErr w:type="spellStart"/>
      <w:r w:rsidR="006B1AF1">
        <w:rPr>
          <w:rFonts w:ascii="Arial" w:hAnsi="Arial" w:cs="Arial"/>
        </w:rPr>
        <w:t>főszámos</w:t>
      </w:r>
      <w:proofErr w:type="spellEnd"/>
      <w:r w:rsidR="006B1AF1">
        <w:rPr>
          <w:rFonts w:ascii="Arial" w:hAnsi="Arial" w:cs="Arial"/>
        </w:rPr>
        <w:t xml:space="preserve"> </w:t>
      </w:r>
      <w:r>
        <w:rPr>
          <w:rFonts w:ascii="Arial" w:hAnsi="Arial" w:cs="Arial"/>
        </w:rPr>
        <w:t>ügy</w:t>
      </w:r>
      <w:r w:rsidR="006B1AF1">
        <w:rPr>
          <w:rFonts w:ascii="Arial" w:hAnsi="Arial" w:cs="Arial"/>
        </w:rPr>
        <w:t xml:space="preserve"> (alszám: </w:t>
      </w:r>
      <w:r w:rsidR="00B14FBD" w:rsidRPr="00B14FBD">
        <w:rPr>
          <w:rFonts w:ascii="Arial" w:hAnsi="Arial" w:cs="Arial"/>
        </w:rPr>
        <w:t>18 681</w:t>
      </w:r>
      <w:r w:rsidR="006B1AF1">
        <w:rPr>
          <w:rFonts w:ascii="Arial" w:hAnsi="Arial" w:cs="Arial"/>
        </w:rPr>
        <w:t xml:space="preserve"> db)</w:t>
      </w:r>
      <w:r>
        <w:rPr>
          <w:rFonts w:ascii="Arial" w:hAnsi="Arial" w:cs="Arial"/>
        </w:rPr>
        <w:t xml:space="preserve">, (határozat, végzés, adószámla, felhívás stb.) került elintézésre, a polgármesteri hivatal összes ügyirat forgalmának </w:t>
      </w:r>
      <w:r w:rsidR="00B14FBD">
        <w:rPr>
          <w:rFonts w:ascii="Arial" w:hAnsi="Arial" w:cs="Arial"/>
        </w:rPr>
        <w:t>megközelítően</w:t>
      </w:r>
      <w:r>
        <w:rPr>
          <w:rFonts w:ascii="Arial" w:hAnsi="Arial" w:cs="Arial"/>
        </w:rPr>
        <w:t xml:space="preserve"> </w:t>
      </w:r>
      <w:r w:rsidR="006B1AF1" w:rsidRPr="00B14FBD">
        <w:rPr>
          <w:rFonts w:ascii="Arial" w:hAnsi="Arial" w:cs="Arial"/>
        </w:rPr>
        <w:t>80</w:t>
      </w:r>
      <w:r w:rsidR="006B1AF1">
        <w:rPr>
          <w:rFonts w:ascii="Arial" w:hAnsi="Arial" w:cs="Arial"/>
        </w:rPr>
        <w:t xml:space="preserve"> </w:t>
      </w:r>
      <w:r>
        <w:rPr>
          <w:rFonts w:ascii="Arial" w:hAnsi="Arial" w:cs="Arial"/>
        </w:rPr>
        <w:t>%-át adóügyek jelentették.</w:t>
      </w:r>
    </w:p>
    <w:p w:rsidR="007907A0" w:rsidRPr="00C82323" w:rsidRDefault="007907A0" w:rsidP="0006724C">
      <w:pPr>
        <w:pStyle w:val="Listaszerbekezds"/>
        <w:spacing w:after="200" w:line="276" w:lineRule="auto"/>
        <w:ind w:left="0"/>
        <w:jc w:val="both"/>
        <w:rPr>
          <w:rFonts w:ascii="Arial" w:hAnsi="Arial" w:cs="Arial"/>
        </w:rPr>
      </w:pPr>
      <w:r w:rsidRPr="00C82323">
        <w:rPr>
          <w:rFonts w:ascii="Arial" w:hAnsi="Arial" w:cs="Arial"/>
        </w:rPr>
        <w:t>A Hatósági Osztály szervezeti keretén belül történik a helyi adókkal – építményadó, helyi iparűzési adó, idegenforgalmi adó</w:t>
      </w:r>
      <w:r w:rsidR="00174509">
        <w:rPr>
          <w:rFonts w:ascii="Arial" w:hAnsi="Arial" w:cs="Arial"/>
        </w:rPr>
        <w:t xml:space="preserve"> </w:t>
      </w:r>
      <w:proofErr w:type="gramStart"/>
      <w:r w:rsidR="00174509">
        <w:rPr>
          <w:rFonts w:ascii="Arial" w:hAnsi="Arial" w:cs="Arial"/>
        </w:rPr>
        <w:t>-</w:t>
      </w:r>
      <w:r w:rsidRPr="00C82323">
        <w:rPr>
          <w:rFonts w:ascii="Arial" w:hAnsi="Arial" w:cs="Arial"/>
        </w:rPr>
        <w:t xml:space="preserve">  kapcsolatos</w:t>
      </w:r>
      <w:proofErr w:type="gramEnd"/>
      <w:r w:rsidRPr="00C82323">
        <w:rPr>
          <w:rFonts w:ascii="Arial" w:hAnsi="Arial" w:cs="Arial"/>
        </w:rPr>
        <w:t xml:space="preserve"> ügyek intézése, és más a helyi adóztatással összefüggő feladatok, bejelentés, bevallás feldolgozása, adókötelezettség ellenőrzése, végrehajtási feladatok ellátása és egyéb ügyintézés.</w:t>
      </w:r>
    </w:p>
    <w:p w:rsidR="007907A0" w:rsidRPr="00C82323" w:rsidRDefault="007907A0" w:rsidP="0006724C">
      <w:pPr>
        <w:contextualSpacing/>
        <w:jc w:val="both"/>
        <w:rPr>
          <w:rFonts w:ascii="Arial" w:hAnsi="Arial" w:cs="Arial"/>
        </w:rPr>
      </w:pPr>
      <w:r w:rsidRPr="00C82323">
        <w:rPr>
          <w:rFonts w:ascii="Arial" w:hAnsi="Arial" w:cs="Arial"/>
        </w:rPr>
        <w:t xml:space="preserve">Feladatkörünkbe tartozik továbbá az adók módjára behajtandó köztartozások kezelése, a kimutatott köztartozások behajtása, adó- és értékbizonyítvány kiállítása, továbbá </w:t>
      </w:r>
      <w:r w:rsidR="0046246C">
        <w:rPr>
          <w:rFonts w:ascii="Arial" w:hAnsi="Arial" w:cs="Arial"/>
        </w:rPr>
        <w:t>adóigazolás kiadása.</w:t>
      </w:r>
    </w:p>
    <w:p w:rsidR="007907A0" w:rsidRPr="00C82323" w:rsidRDefault="007907A0" w:rsidP="0006724C">
      <w:pPr>
        <w:contextualSpacing/>
        <w:jc w:val="both"/>
        <w:rPr>
          <w:rFonts w:ascii="Arial" w:hAnsi="Arial" w:cs="Arial"/>
        </w:rPr>
      </w:pPr>
    </w:p>
    <w:p w:rsidR="007907A0" w:rsidRPr="00C82323" w:rsidRDefault="003E2F49" w:rsidP="0006724C">
      <w:pPr>
        <w:autoSpaceDE w:val="0"/>
        <w:autoSpaceDN w:val="0"/>
        <w:adjustRightInd w:val="0"/>
        <w:contextualSpacing/>
        <w:jc w:val="both"/>
        <w:rPr>
          <w:rFonts w:ascii="Arial" w:hAnsi="Arial" w:cs="Arial"/>
        </w:rPr>
      </w:pPr>
      <w:r>
        <w:rPr>
          <w:rFonts w:ascii="Arial" w:hAnsi="Arial" w:cs="Arial"/>
        </w:rPr>
        <w:t xml:space="preserve">Az </w:t>
      </w:r>
      <w:r w:rsidRPr="00C82323">
        <w:rPr>
          <w:rFonts w:ascii="Arial" w:hAnsi="Arial" w:cs="Arial"/>
        </w:rPr>
        <w:t>adóigazgatásban</w:t>
      </w:r>
      <w:r w:rsidR="007907A0" w:rsidRPr="00C82323">
        <w:rPr>
          <w:rFonts w:ascii="Arial" w:hAnsi="Arial" w:cs="Arial"/>
        </w:rPr>
        <w:t xml:space="preserve"> negyedéves, féléves zárásokat kell teljesíteni és továbbítani a Magyar Államkincstár (a továbbiakban: MÁK) illetékes igazgatósága részére továbbá adatszolgáltatásokat teljesíteni az adónemek vonatkozásában. </w:t>
      </w:r>
    </w:p>
    <w:p w:rsidR="007907A0" w:rsidRDefault="007907A0" w:rsidP="0006724C">
      <w:pPr>
        <w:contextualSpacing/>
        <w:jc w:val="both"/>
        <w:rPr>
          <w:rFonts w:ascii="Arial" w:hAnsi="Arial" w:cs="Arial"/>
        </w:rPr>
      </w:pPr>
      <w:r w:rsidRPr="00C82323">
        <w:rPr>
          <w:rFonts w:ascii="Arial" w:hAnsi="Arial" w:cs="Arial"/>
        </w:rPr>
        <w:t xml:space="preserve">Az adóügyi feladatot végző köztisztviselők az önkormányzati adók behajtásán túl ellátják még a következő feladatokat: </w:t>
      </w:r>
    </w:p>
    <w:p w:rsidR="007907A0" w:rsidRPr="00C82323" w:rsidRDefault="007907A0" w:rsidP="0006724C">
      <w:pPr>
        <w:contextualSpacing/>
        <w:jc w:val="both"/>
        <w:rPr>
          <w:rFonts w:ascii="Arial" w:hAnsi="Arial" w:cs="Arial"/>
        </w:rPr>
      </w:pPr>
    </w:p>
    <w:p w:rsidR="007907A0" w:rsidRPr="00C82323" w:rsidRDefault="007907A0" w:rsidP="0006724C">
      <w:pPr>
        <w:pStyle w:val="Listaszerbekezds"/>
        <w:numPr>
          <w:ilvl w:val="0"/>
          <w:numId w:val="7"/>
        </w:numPr>
        <w:spacing w:after="200" w:line="276" w:lineRule="auto"/>
        <w:ind w:left="284"/>
        <w:jc w:val="both"/>
        <w:rPr>
          <w:rFonts w:ascii="Arial" w:hAnsi="Arial" w:cs="Arial"/>
        </w:rPr>
      </w:pPr>
      <w:r w:rsidRPr="00C82323">
        <w:rPr>
          <w:rFonts w:ascii="Arial" w:hAnsi="Arial" w:cs="Arial"/>
        </w:rPr>
        <w:t xml:space="preserve">Az önkormányzati adóhatóság adószámláinak kezelése. Az adószámlák bankszámla kivonatának megérkezése után megtörténik a befizetések beazonosítása az adózókra. A bevételek és kiadások rögzítését követően, elkészülnek a pénzforgalmi naplók. </w:t>
      </w:r>
    </w:p>
    <w:p w:rsidR="007907A0" w:rsidRPr="00C82323" w:rsidRDefault="007907A0" w:rsidP="0006724C">
      <w:pPr>
        <w:pStyle w:val="Listaszerbekezds"/>
        <w:numPr>
          <w:ilvl w:val="0"/>
          <w:numId w:val="7"/>
        </w:numPr>
        <w:spacing w:after="200" w:line="276" w:lineRule="auto"/>
        <w:ind w:left="284"/>
        <w:jc w:val="both"/>
        <w:rPr>
          <w:rFonts w:ascii="Arial" w:hAnsi="Arial" w:cs="Arial"/>
        </w:rPr>
      </w:pPr>
      <w:r w:rsidRPr="00C82323">
        <w:rPr>
          <w:rFonts w:ascii="Arial" w:hAnsi="Arial" w:cs="Arial"/>
        </w:rPr>
        <w:t xml:space="preserve">Intézkedés történik a téves befizetések, túlfizetések rendezéséről, könyveléséről. </w:t>
      </w:r>
    </w:p>
    <w:p w:rsidR="007907A0" w:rsidRDefault="007907A0" w:rsidP="0006724C">
      <w:pPr>
        <w:pStyle w:val="Listaszerbekezds"/>
        <w:numPr>
          <w:ilvl w:val="0"/>
          <w:numId w:val="7"/>
        </w:numPr>
        <w:spacing w:after="200" w:line="276" w:lineRule="auto"/>
        <w:ind w:left="284"/>
        <w:jc w:val="both"/>
        <w:rPr>
          <w:rFonts w:ascii="Arial" w:hAnsi="Arial" w:cs="Arial"/>
        </w:rPr>
      </w:pPr>
      <w:r w:rsidRPr="00C82323">
        <w:rPr>
          <w:rFonts w:ascii="Arial" w:hAnsi="Arial" w:cs="Arial"/>
        </w:rPr>
        <w:t xml:space="preserve">Adóerő-képesség mértékéről adatszolgáltatás a Közgazdasági Osztály részére, illetve </w:t>
      </w:r>
      <w:r w:rsidR="00771AD4">
        <w:rPr>
          <w:rFonts w:ascii="Arial" w:hAnsi="Arial" w:cs="Arial"/>
        </w:rPr>
        <w:t>adatokat szolgáltatunk</w:t>
      </w:r>
      <w:r w:rsidRPr="00C82323">
        <w:rPr>
          <w:rFonts w:ascii="Arial" w:hAnsi="Arial" w:cs="Arial"/>
        </w:rPr>
        <w:t xml:space="preserve"> a hivatalvezetés részére.</w:t>
      </w:r>
    </w:p>
    <w:p w:rsidR="007907A0" w:rsidRPr="00C82323" w:rsidRDefault="007907A0" w:rsidP="0006724C">
      <w:pPr>
        <w:pStyle w:val="Listaszerbekezds"/>
        <w:spacing w:after="200" w:line="276" w:lineRule="auto"/>
        <w:ind w:left="284"/>
        <w:jc w:val="both"/>
        <w:rPr>
          <w:rFonts w:ascii="Arial" w:hAnsi="Arial" w:cs="Arial"/>
        </w:rPr>
      </w:pPr>
    </w:p>
    <w:p w:rsidR="007907A0" w:rsidRDefault="003E2F49" w:rsidP="0006724C">
      <w:pPr>
        <w:contextualSpacing/>
        <w:jc w:val="both"/>
        <w:rPr>
          <w:rFonts w:ascii="Arial" w:hAnsi="Arial" w:cs="Arial"/>
        </w:rPr>
      </w:pPr>
      <w:r w:rsidRPr="004D4BE5">
        <w:rPr>
          <w:rFonts w:ascii="Arial" w:hAnsi="Arial" w:cs="Arial"/>
        </w:rPr>
        <w:t>Az adóhatósági</w:t>
      </w:r>
      <w:r w:rsidR="007907A0" w:rsidRPr="004D4BE5">
        <w:rPr>
          <w:rFonts w:ascii="Arial" w:hAnsi="Arial" w:cs="Arial"/>
        </w:rPr>
        <w:t xml:space="preserve"> munka egyes kiemelt fázisai:</w:t>
      </w:r>
    </w:p>
    <w:p w:rsidR="007907A0" w:rsidRPr="004D4BE5" w:rsidRDefault="007907A0" w:rsidP="0006724C">
      <w:pPr>
        <w:contextualSpacing/>
        <w:jc w:val="both"/>
        <w:rPr>
          <w:rFonts w:ascii="Arial" w:hAnsi="Arial" w:cs="Arial"/>
        </w:rPr>
      </w:pP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adózók bejelentkezése alapján a törzsállomány karbantartása,</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adóalanyok körének egyeztetése (ez alapján folyamatosan, illetve szükség szerinti felhívása a kötelezettség teljesítésének pótlására),</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 xml:space="preserve">folyamatos személyes és telefonos tájékoztatás, segítségnyújtás a bevallások kitöltéséhez, </w:t>
      </w:r>
      <w:r w:rsidR="005E7441">
        <w:rPr>
          <w:rFonts w:ascii="Arial" w:hAnsi="Arial" w:cs="Arial"/>
        </w:rPr>
        <w:t>tájékoztatás</w:t>
      </w:r>
      <w:r w:rsidRPr="004D4BE5">
        <w:rPr>
          <w:rFonts w:ascii="Arial" w:hAnsi="Arial" w:cs="Arial"/>
        </w:rPr>
        <w:t xml:space="preserve"> a befizetett adóelőlegek</w:t>
      </w:r>
      <w:r w:rsidR="005E7441">
        <w:rPr>
          <w:rFonts w:ascii="Arial" w:hAnsi="Arial" w:cs="Arial"/>
        </w:rPr>
        <w:t xml:space="preserve"> és </w:t>
      </w:r>
      <w:r w:rsidRPr="004D4BE5">
        <w:rPr>
          <w:rFonts w:ascii="Arial" w:hAnsi="Arial" w:cs="Arial"/>
        </w:rPr>
        <w:t xml:space="preserve">a folyószámla </w:t>
      </w:r>
      <w:r w:rsidR="005E7441">
        <w:rPr>
          <w:rFonts w:ascii="Arial" w:hAnsi="Arial" w:cs="Arial"/>
        </w:rPr>
        <w:t>elérhetőségérő</w:t>
      </w:r>
      <w:r w:rsidRPr="004D4BE5">
        <w:rPr>
          <w:rFonts w:ascii="Arial" w:hAnsi="Arial" w:cs="Arial"/>
        </w:rPr>
        <w:t>l,</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a benyújtott adóbevallások ellenőrzése (alaki-tartalmi megfelelőség) adatainak rögzítése (minden bevallást rögzíteni kell, a nullást is),</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 xml:space="preserve">az adóhatóság által feltárt bevallási hibák javítása, illetve a hibák javítására történő felszólítás küldése, </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esetleges többlet befizetés miatt kiutalási igények elbírálása, intézkedés (értesítés, bizonylat) a visszautalásról vagy átvezetésről,</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lastRenderedPageBreak/>
        <w:t>a teljes körű bevallás feldolgozás után a hiányzó bejelentkezések és bevallások pótlására felszólítás,</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egyedi adóelőleg módosítási kérelmek elbírálása, határozathozatallal az elsőfokú adóigazgatási eljárás keretében,</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 xml:space="preserve">felszámolási eljárás indulása esetén hitelezői igények bejelentése a felszámoló biztos felé, </w:t>
      </w:r>
    </w:p>
    <w:p w:rsidR="007907A0" w:rsidRPr="004D4BE5" w:rsidRDefault="007907A0" w:rsidP="0006724C">
      <w:pPr>
        <w:numPr>
          <w:ilvl w:val="0"/>
          <w:numId w:val="10"/>
        </w:numPr>
        <w:contextualSpacing/>
        <w:jc w:val="both"/>
        <w:rPr>
          <w:rFonts w:ascii="Arial" w:hAnsi="Arial" w:cs="Arial"/>
        </w:rPr>
      </w:pPr>
      <w:r w:rsidRPr="004D4BE5">
        <w:rPr>
          <w:rFonts w:ascii="Arial" w:hAnsi="Arial" w:cs="Arial"/>
        </w:rPr>
        <w:t>fizetési hátralékok esetén felszólítás kiküldése, eredménytelenség esetén végrehajtási eljárás megindítása.</w:t>
      </w:r>
    </w:p>
    <w:p w:rsidR="007907A0" w:rsidRPr="00C82323" w:rsidRDefault="007907A0" w:rsidP="0006724C">
      <w:pPr>
        <w:autoSpaceDE w:val="0"/>
        <w:autoSpaceDN w:val="0"/>
        <w:adjustRightInd w:val="0"/>
        <w:contextualSpacing/>
        <w:jc w:val="both"/>
        <w:rPr>
          <w:rFonts w:ascii="Arial" w:hAnsi="Arial" w:cs="Arial"/>
        </w:rPr>
      </w:pPr>
    </w:p>
    <w:p w:rsidR="007907A0" w:rsidRDefault="007907A0" w:rsidP="0006724C">
      <w:pPr>
        <w:autoSpaceDE w:val="0"/>
        <w:autoSpaceDN w:val="0"/>
        <w:adjustRightInd w:val="0"/>
        <w:contextualSpacing/>
        <w:jc w:val="both"/>
        <w:rPr>
          <w:rFonts w:ascii="Arial" w:hAnsi="Arial" w:cs="Arial"/>
        </w:rPr>
      </w:pPr>
      <w:r w:rsidRPr="00C82323">
        <w:rPr>
          <w:rFonts w:ascii="Arial" w:hAnsi="Arial" w:cs="Arial"/>
        </w:rPr>
        <w:t>Az adónyilvántartás vezetése 2017. április 1. napjától az állam által biztosított központi számítástechnikai hálózaton keresztül távoli alkalmazásszolgáltatást nyújtó számítástechnikai rendszer az önkormányzati ASP (</w:t>
      </w:r>
      <w:proofErr w:type="spellStart"/>
      <w:r w:rsidRPr="00C82323">
        <w:rPr>
          <w:rStyle w:val="st"/>
          <w:rFonts w:ascii="Arial" w:hAnsi="Arial" w:cs="Arial"/>
        </w:rPr>
        <w:t>Application</w:t>
      </w:r>
      <w:proofErr w:type="spellEnd"/>
      <w:r w:rsidRPr="00C82323">
        <w:rPr>
          <w:rStyle w:val="st"/>
          <w:rFonts w:ascii="Arial" w:hAnsi="Arial" w:cs="Arial"/>
        </w:rPr>
        <w:t xml:space="preserve"> Service </w:t>
      </w:r>
      <w:proofErr w:type="spellStart"/>
      <w:r w:rsidRPr="00C82323">
        <w:rPr>
          <w:rStyle w:val="st"/>
          <w:rFonts w:ascii="Arial" w:hAnsi="Arial" w:cs="Arial"/>
        </w:rPr>
        <w:t>Provider</w:t>
      </w:r>
      <w:proofErr w:type="spellEnd"/>
      <w:r w:rsidRPr="00C82323">
        <w:rPr>
          <w:rStyle w:val="st"/>
          <w:rFonts w:ascii="Arial" w:hAnsi="Arial" w:cs="Arial"/>
        </w:rPr>
        <w:t xml:space="preserve"> alkalmazás-szolgáltató)</w:t>
      </w:r>
      <w:r w:rsidRPr="00C82323">
        <w:rPr>
          <w:rFonts w:ascii="Arial" w:hAnsi="Arial" w:cs="Arial"/>
        </w:rPr>
        <w:t xml:space="preserve"> </w:t>
      </w:r>
      <w:r>
        <w:rPr>
          <w:rFonts w:ascii="Arial" w:hAnsi="Arial" w:cs="Arial"/>
        </w:rPr>
        <w:t>alkalmazásával történik.</w:t>
      </w:r>
      <w:r w:rsidRPr="00C82323">
        <w:rPr>
          <w:rFonts w:ascii="Arial" w:hAnsi="Arial" w:cs="Arial"/>
        </w:rPr>
        <w:t xml:space="preserve"> Az ASP modell lényege, hogy a felhasználók egy egyszerű böngészőprogram segítségével az interneten keresztül vehetik igénybe a távoli szolgáltató központtól a tevékenységük támogatásához szükséges szoftvereket, alkalmazásokat, amelyek segítenek a gazdálkodási, adóztatási, hagyatéki, kereskedelmi feladatok ellátásában.</w:t>
      </w:r>
    </w:p>
    <w:p w:rsidR="007907A0" w:rsidRDefault="007907A0" w:rsidP="0006724C">
      <w:pPr>
        <w:autoSpaceDE w:val="0"/>
        <w:autoSpaceDN w:val="0"/>
        <w:adjustRightInd w:val="0"/>
        <w:contextualSpacing/>
        <w:jc w:val="both"/>
        <w:rPr>
          <w:rFonts w:ascii="Arial" w:hAnsi="Arial" w:cs="Arial"/>
        </w:rPr>
      </w:pPr>
    </w:p>
    <w:p w:rsidR="007907A0" w:rsidRDefault="007907A0" w:rsidP="0006724C">
      <w:pPr>
        <w:autoSpaceDE w:val="0"/>
        <w:autoSpaceDN w:val="0"/>
        <w:adjustRightInd w:val="0"/>
        <w:contextualSpacing/>
        <w:jc w:val="both"/>
        <w:rPr>
          <w:rFonts w:ascii="Arial" w:hAnsi="Arial" w:cs="Arial"/>
        </w:rPr>
      </w:pPr>
      <w:r>
        <w:rPr>
          <w:rFonts w:ascii="Arial" w:hAnsi="Arial" w:cs="Arial"/>
        </w:rPr>
        <w:t>Az Elektronikus Önkormányzati Portál az önkormányzati ASP rendszerben az elektronikus önkormányzati ügyintézés helyszíne, az adózók ezen keresztül intézhetik ügyeiket a nap 24 órájában.</w:t>
      </w:r>
    </w:p>
    <w:p w:rsidR="007907A0" w:rsidRDefault="007907A0" w:rsidP="0006724C">
      <w:pPr>
        <w:autoSpaceDE w:val="0"/>
        <w:autoSpaceDN w:val="0"/>
        <w:adjustRightInd w:val="0"/>
        <w:contextualSpacing/>
        <w:jc w:val="both"/>
        <w:rPr>
          <w:rFonts w:ascii="Arial" w:hAnsi="Arial" w:cs="Arial"/>
        </w:rPr>
      </w:pPr>
      <w:r>
        <w:rPr>
          <w:rFonts w:ascii="Arial" w:hAnsi="Arial" w:cs="Arial"/>
        </w:rPr>
        <w:t>Az igénybe vehető elektronikus ügyintézési szolgáltatások az alábbiak: adóegyenleg lekérdezés, ügyindítás, bevallás lekérdezés, adók, díjak, illetékek befizetése az EFER szolgáltatás használatával, fizetéstörténet.</w:t>
      </w:r>
    </w:p>
    <w:p w:rsidR="00B02F5A" w:rsidRDefault="00B02F5A" w:rsidP="007907A0">
      <w:pPr>
        <w:autoSpaceDE w:val="0"/>
        <w:autoSpaceDN w:val="0"/>
        <w:adjustRightInd w:val="0"/>
        <w:spacing w:after="0"/>
        <w:jc w:val="both"/>
        <w:rPr>
          <w:rFonts w:ascii="Arial" w:hAnsi="Arial" w:cs="Arial"/>
        </w:rPr>
      </w:pPr>
    </w:p>
    <w:p w:rsidR="00B45D52" w:rsidRDefault="00B45D52" w:rsidP="00F921C6">
      <w:pPr>
        <w:pStyle w:val="Listaszerbekezds"/>
        <w:numPr>
          <w:ilvl w:val="1"/>
          <w:numId w:val="1"/>
        </w:numPr>
        <w:spacing w:after="120"/>
        <w:jc w:val="both"/>
        <w:rPr>
          <w:rFonts w:ascii="Arial" w:hAnsi="Arial" w:cs="Arial"/>
          <w:b/>
        </w:rPr>
      </w:pPr>
      <w:r w:rsidRPr="00F921C6">
        <w:rPr>
          <w:rFonts w:ascii="Arial" w:hAnsi="Arial" w:cs="Arial"/>
          <w:b/>
        </w:rPr>
        <w:t>Építményadó</w:t>
      </w:r>
    </w:p>
    <w:p w:rsidR="00E05566" w:rsidRPr="003632B0" w:rsidRDefault="00E05566" w:rsidP="00E05566">
      <w:pPr>
        <w:pStyle w:val="Listaszerbekezds"/>
        <w:spacing w:after="120"/>
        <w:ind w:left="1428"/>
        <w:jc w:val="both"/>
        <w:rPr>
          <w:rFonts w:ascii="Arial" w:hAnsi="Arial" w:cs="Arial"/>
          <w:b/>
          <w:color w:val="2E74B5" w:themeColor="accent1" w:themeShade="BF"/>
        </w:rPr>
      </w:pPr>
    </w:p>
    <w:p w:rsidR="00E05566" w:rsidRPr="00C52F90" w:rsidRDefault="00E05566" w:rsidP="0006724C">
      <w:pPr>
        <w:pStyle w:val="Listaszerbekezds"/>
        <w:spacing w:after="200" w:line="276" w:lineRule="auto"/>
        <w:ind w:left="0"/>
        <w:jc w:val="both"/>
        <w:rPr>
          <w:rFonts w:ascii="Arial" w:hAnsi="Arial" w:cs="Arial"/>
        </w:rPr>
      </w:pPr>
      <w:r w:rsidRPr="00C52F90">
        <w:rPr>
          <w:rFonts w:ascii="Arial" w:hAnsi="Arial" w:cs="Arial"/>
        </w:rPr>
        <w:t>Építményadó esetében az adó mértéke 2016. január 1. napjától: szállásépület, szálláshely - ide nem értve az egyéb szálláshelyet - esetén 1.000 forint/m</w:t>
      </w:r>
      <w:r w:rsidRPr="00C52F90">
        <w:rPr>
          <w:rFonts w:ascii="Arial" w:hAnsi="Arial" w:cs="Arial"/>
          <w:vertAlign w:val="superscript"/>
        </w:rPr>
        <w:t>2</w:t>
      </w:r>
      <w:r w:rsidRPr="00C52F90">
        <w:rPr>
          <w:rFonts w:ascii="Arial" w:hAnsi="Arial" w:cs="Arial"/>
        </w:rPr>
        <w:t xml:space="preserve">/év. Kereskedelmi egység, iroda, szolgáltató tevékenység végzésre szolgáló építmény esetén, - ide nem értve az </w:t>
      </w:r>
      <w:r w:rsidRPr="00C52F90">
        <w:rPr>
          <w:rFonts w:ascii="Arial" w:hAnsi="Arial" w:cs="Arial"/>
          <w:i/>
          <w:iCs/>
        </w:rPr>
        <w:t>előzőekben említettek</w:t>
      </w:r>
      <w:r w:rsidRPr="00C52F90">
        <w:rPr>
          <w:rFonts w:ascii="Arial" w:hAnsi="Arial" w:cs="Arial"/>
        </w:rPr>
        <w:t xml:space="preserve"> hatálya alá tartozó építményeket - 800 forint/m</w:t>
      </w:r>
      <w:r w:rsidRPr="00C52F90">
        <w:rPr>
          <w:rFonts w:ascii="Arial" w:hAnsi="Arial" w:cs="Arial"/>
          <w:vertAlign w:val="superscript"/>
        </w:rPr>
        <w:t>2</w:t>
      </w:r>
      <w:r w:rsidRPr="00C52F90">
        <w:rPr>
          <w:rFonts w:ascii="Arial" w:hAnsi="Arial" w:cs="Arial"/>
        </w:rPr>
        <w:t>/év. Lakás, lakóépület, a lakáshoz, üdülőhöz tartozó gépjárműtároló és minden más építmény, amely az előző két esetben leírtak hatálya alá nem tartozó építmény esetén 600 forint/m</w:t>
      </w:r>
      <w:r w:rsidRPr="00C52F90">
        <w:rPr>
          <w:rFonts w:ascii="Arial" w:hAnsi="Arial" w:cs="Arial"/>
          <w:vertAlign w:val="superscript"/>
        </w:rPr>
        <w:t>2</w:t>
      </w:r>
      <w:r w:rsidRPr="00C52F90">
        <w:rPr>
          <w:rFonts w:ascii="Arial" w:hAnsi="Arial" w:cs="Arial"/>
        </w:rPr>
        <w:t>/év.</w:t>
      </w:r>
    </w:p>
    <w:p w:rsidR="0006724C" w:rsidRDefault="0006724C" w:rsidP="0006724C">
      <w:pPr>
        <w:pStyle w:val="Listaszerbekezds"/>
        <w:spacing w:after="200" w:line="276" w:lineRule="auto"/>
        <w:ind w:left="0"/>
        <w:jc w:val="both"/>
        <w:rPr>
          <w:rFonts w:ascii="Arial" w:hAnsi="Arial" w:cs="Arial"/>
        </w:rPr>
      </w:pPr>
    </w:p>
    <w:p w:rsidR="00E05566" w:rsidRPr="0006724C" w:rsidRDefault="00E05566" w:rsidP="0006724C">
      <w:pPr>
        <w:pStyle w:val="Listaszerbekezds"/>
        <w:spacing w:after="200" w:line="276" w:lineRule="auto"/>
        <w:ind w:left="0" w:firstLine="708"/>
        <w:jc w:val="both"/>
        <w:rPr>
          <w:rFonts w:ascii="Arial" w:hAnsi="Arial" w:cs="Arial"/>
          <w:b/>
        </w:rPr>
      </w:pPr>
      <w:r w:rsidRPr="0006724C">
        <w:rPr>
          <w:rFonts w:ascii="Arial" w:hAnsi="Arial" w:cs="Arial"/>
          <w:b/>
        </w:rPr>
        <w:t>Építményadó hatálya alá tartozó adózók száma az alábbiak szerint alakult:</w:t>
      </w:r>
    </w:p>
    <w:p w:rsidR="00E05566" w:rsidRPr="00C52F90" w:rsidRDefault="00E05566" w:rsidP="00E05566">
      <w:pPr>
        <w:pStyle w:val="Listaszerbekezds"/>
        <w:spacing w:before="240" w:after="120" w:line="276" w:lineRule="auto"/>
        <w:ind w:left="0"/>
        <w:jc w:val="both"/>
        <w:rPr>
          <w:rFonts w:ascii="Arial" w:hAnsi="Arial" w:cs="Arial"/>
        </w:rPr>
      </w:pPr>
    </w:p>
    <w:tbl>
      <w:tblPr>
        <w:tblW w:w="8847" w:type="dxa"/>
        <w:jc w:val="center"/>
        <w:tblCellMar>
          <w:left w:w="70" w:type="dxa"/>
          <w:right w:w="70" w:type="dxa"/>
        </w:tblCellMar>
        <w:tblLook w:val="04A0" w:firstRow="1" w:lastRow="0" w:firstColumn="1" w:lastColumn="0" w:noHBand="0" w:noVBand="1"/>
      </w:tblPr>
      <w:tblGrid>
        <w:gridCol w:w="4425"/>
        <w:gridCol w:w="4422"/>
      </w:tblGrid>
      <w:tr w:rsidR="00C52F90" w:rsidRPr="00C52F90" w:rsidTr="002A36AE">
        <w:trPr>
          <w:trHeight w:val="702"/>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E05566" w:rsidRPr="0006724C" w:rsidRDefault="00E05566" w:rsidP="002A36AE">
            <w:pPr>
              <w:spacing w:after="120"/>
              <w:jc w:val="center"/>
              <w:rPr>
                <w:rFonts w:ascii="Arial" w:eastAsia="Times New Roman" w:hAnsi="Arial" w:cs="Arial"/>
                <w:bCs/>
                <w:lang w:eastAsia="hu-HU"/>
              </w:rPr>
            </w:pPr>
            <w:r w:rsidRPr="0006724C">
              <w:rPr>
                <w:rFonts w:ascii="Arial" w:eastAsia="Times New Roman" w:hAnsi="Arial" w:cs="Arial"/>
                <w:bCs/>
                <w:lang w:eastAsia="hu-HU"/>
              </w:rPr>
              <w:t>építményadó fizetésre kötelezett adózók száma ismétlődések nélkül (fő)</w:t>
            </w:r>
          </w:p>
        </w:tc>
        <w:tc>
          <w:tcPr>
            <w:tcW w:w="4422" w:type="dxa"/>
            <w:tcBorders>
              <w:top w:val="single" w:sz="4" w:space="0" w:color="auto"/>
              <w:left w:val="nil"/>
              <w:bottom w:val="single" w:sz="4" w:space="0" w:color="auto"/>
              <w:right w:val="single" w:sz="4" w:space="0" w:color="auto"/>
            </w:tcBorders>
            <w:vAlign w:val="center"/>
            <w:hideMark/>
          </w:tcPr>
          <w:p w:rsidR="00E05566" w:rsidRPr="0006724C" w:rsidRDefault="00E05566" w:rsidP="002A36AE">
            <w:pPr>
              <w:spacing w:after="120"/>
              <w:jc w:val="center"/>
              <w:rPr>
                <w:rFonts w:ascii="Arial" w:eastAsia="Times New Roman" w:hAnsi="Arial" w:cs="Arial"/>
                <w:bCs/>
                <w:lang w:eastAsia="hu-HU"/>
              </w:rPr>
            </w:pPr>
            <w:r w:rsidRPr="0006724C">
              <w:rPr>
                <w:rFonts w:ascii="Arial" w:eastAsia="Times New Roman" w:hAnsi="Arial" w:cs="Arial"/>
                <w:bCs/>
                <w:lang w:eastAsia="hu-HU"/>
              </w:rPr>
              <w:t>adózók részére történt kivetések száma (db)</w:t>
            </w:r>
          </w:p>
        </w:tc>
      </w:tr>
      <w:tr w:rsidR="00C52F90" w:rsidRPr="00C52F90" w:rsidTr="002A36AE">
        <w:trPr>
          <w:trHeight w:val="255"/>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E05566" w:rsidRPr="003205C7" w:rsidRDefault="00E05566" w:rsidP="002A36AE">
            <w:pPr>
              <w:spacing w:after="120"/>
              <w:jc w:val="center"/>
              <w:rPr>
                <w:rFonts w:ascii="Arial" w:eastAsia="Times New Roman" w:hAnsi="Arial" w:cs="Arial"/>
                <w:b/>
                <w:bCs/>
                <w:lang w:eastAsia="hu-HU"/>
              </w:rPr>
            </w:pPr>
            <w:r w:rsidRPr="003205C7">
              <w:rPr>
                <w:rFonts w:ascii="Arial" w:eastAsia="Times New Roman" w:hAnsi="Arial" w:cs="Arial"/>
                <w:b/>
                <w:bCs/>
                <w:lang w:eastAsia="hu-HU"/>
              </w:rPr>
              <w:t>4</w:t>
            </w:r>
            <w:r w:rsidR="003205C7">
              <w:rPr>
                <w:rFonts w:ascii="Arial" w:eastAsia="Times New Roman" w:hAnsi="Arial" w:cs="Arial"/>
                <w:b/>
                <w:bCs/>
                <w:lang w:eastAsia="hu-HU"/>
              </w:rPr>
              <w:t>317</w:t>
            </w:r>
          </w:p>
        </w:tc>
        <w:tc>
          <w:tcPr>
            <w:tcW w:w="4422" w:type="dxa"/>
            <w:tcBorders>
              <w:top w:val="single" w:sz="4" w:space="0" w:color="auto"/>
              <w:left w:val="nil"/>
              <w:bottom w:val="single" w:sz="4" w:space="0" w:color="auto"/>
              <w:right w:val="single" w:sz="4" w:space="0" w:color="auto"/>
            </w:tcBorders>
            <w:vAlign w:val="center"/>
            <w:hideMark/>
          </w:tcPr>
          <w:p w:rsidR="00E05566" w:rsidRPr="003205C7" w:rsidRDefault="00E05566" w:rsidP="002A36AE">
            <w:pPr>
              <w:spacing w:after="120"/>
              <w:jc w:val="center"/>
              <w:rPr>
                <w:rFonts w:ascii="Arial" w:eastAsia="Times New Roman" w:hAnsi="Arial" w:cs="Arial"/>
                <w:b/>
                <w:bCs/>
                <w:lang w:eastAsia="hu-HU"/>
              </w:rPr>
            </w:pPr>
            <w:r w:rsidRPr="003205C7">
              <w:rPr>
                <w:rFonts w:ascii="Arial" w:eastAsia="Times New Roman" w:hAnsi="Arial" w:cs="Arial"/>
                <w:b/>
                <w:bCs/>
                <w:lang w:eastAsia="hu-HU"/>
              </w:rPr>
              <w:t>6 4</w:t>
            </w:r>
            <w:r w:rsidR="003205C7">
              <w:rPr>
                <w:rFonts w:ascii="Arial" w:eastAsia="Times New Roman" w:hAnsi="Arial" w:cs="Arial"/>
                <w:b/>
                <w:bCs/>
                <w:lang w:eastAsia="hu-HU"/>
              </w:rPr>
              <w:t>50</w:t>
            </w:r>
          </w:p>
        </w:tc>
      </w:tr>
      <w:tr w:rsidR="00E05566" w:rsidRPr="00C52F90" w:rsidTr="002A36AE">
        <w:trPr>
          <w:trHeight w:val="1226"/>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E05566" w:rsidRPr="00C52F90" w:rsidRDefault="00E05566" w:rsidP="002A36AE">
            <w:pPr>
              <w:spacing w:after="120"/>
              <w:rPr>
                <w:rFonts w:ascii="Arial" w:eastAsia="Times New Roman" w:hAnsi="Arial" w:cs="Arial"/>
                <w:lang w:eastAsia="hu-HU"/>
              </w:rPr>
            </w:pPr>
            <w:r w:rsidRPr="00C52F90">
              <w:rPr>
                <w:rFonts w:ascii="Arial" w:eastAsia="Times New Roman" w:hAnsi="Arial" w:cs="Arial"/>
                <w:lang w:eastAsia="hu-HU"/>
              </w:rPr>
              <w:t xml:space="preserve">A több ingatlannal, vagy ingatlanon belül több jellegű építménnyel (pl. garázs, gazdasági épület, </w:t>
            </w:r>
            <w:proofErr w:type="gramStart"/>
            <w:r w:rsidRPr="00C52F90">
              <w:rPr>
                <w:rFonts w:ascii="Arial" w:eastAsia="Times New Roman" w:hAnsi="Arial" w:cs="Arial"/>
                <w:lang w:eastAsia="hu-HU"/>
              </w:rPr>
              <w:t>üzlet,</w:t>
            </w:r>
            <w:proofErr w:type="gramEnd"/>
            <w:r w:rsidRPr="00C52F90">
              <w:rPr>
                <w:rFonts w:ascii="Arial" w:eastAsia="Times New Roman" w:hAnsi="Arial" w:cs="Arial"/>
                <w:lang w:eastAsia="hu-HU"/>
              </w:rPr>
              <w:t xml:space="preserve"> stb.) rendelkezők kiszűrésre kerültek.</w:t>
            </w:r>
          </w:p>
        </w:tc>
        <w:tc>
          <w:tcPr>
            <w:tcW w:w="4422" w:type="dxa"/>
            <w:tcBorders>
              <w:top w:val="single" w:sz="4" w:space="0" w:color="auto"/>
              <w:left w:val="nil"/>
              <w:bottom w:val="single" w:sz="4" w:space="0" w:color="auto"/>
              <w:right w:val="single" w:sz="4" w:space="0" w:color="auto"/>
            </w:tcBorders>
            <w:vAlign w:val="center"/>
            <w:hideMark/>
          </w:tcPr>
          <w:p w:rsidR="00E05566" w:rsidRPr="00C52F90" w:rsidRDefault="00E05566" w:rsidP="002A36AE">
            <w:pPr>
              <w:spacing w:after="120"/>
              <w:rPr>
                <w:rFonts w:ascii="Arial" w:eastAsia="Times New Roman" w:hAnsi="Arial" w:cs="Arial"/>
                <w:lang w:eastAsia="hu-HU"/>
              </w:rPr>
            </w:pPr>
            <w:r w:rsidRPr="00C52F90">
              <w:rPr>
                <w:rFonts w:ascii="Arial" w:eastAsia="Times New Roman" w:hAnsi="Arial" w:cs="Arial"/>
                <w:lang w:eastAsia="hu-HU"/>
              </w:rPr>
              <w:t xml:space="preserve">Az adat ismétlődéseket tartalmaz, mert több adózó esetén előfordul, hogy több ingatlannal, vagy ingatlanon belül több jellegű építménnyel (pl. garázs, gazdasági épület, </w:t>
            </w:r>
            <w:proofErr w:type="gramStart"/>
            <w:r w:rsidRPr="00C52F90">
              <w:rPr>
                <w:rFonts w:ascii="Arial" w:eastAsia="Times New Roman" w:hAnsi="Arial" w:cs="Arial"/>
                <w:lang w:eastAsia="hu-HU"/>
              </w:rPr>
              <w:t>üzlet,</w:t>
            </w:r>
            <w:proofErr w:type="gramEnd"/>
            <w:r w:rsidRPr="00C52F90">
              <w:rPr>
                <w:rFonts w:ascii="Arial" w:eastAsia="Times New Roman" w:hAnsi="Arial" w:cs="Arial"/>
                <w:lang w:eastAsia="hu-HU"/>
              </w:rPr>
              <w:t xml:space="preserve"> stb.) rendelkezik.</w:t>
            </w:r>
          </w:p>
        </w:tc>
      </w:tr>
    </w:tbl>
    <w:p w:rsidR="0006724C" w:rsidRDefault="0006724C" w:rsidP="00E05566">
      <w:pPr>
        <w:spacing w:before="120" w:after="120"/>
        <w:jc w:val="both"/>
        <w:rPr>
          <w:rFonts w:ascii="Arial" w:hAnsi="Arial" w:cs="Arial"/>
        </w:rPr>
      </w:pPr>
    </w:p>
    <w:p w:rsidR="0006724C" w:rsidRDefault="0006724C" w:rsidP="00E05566">
      <w:pPr>
        <w:spacing w:before="120" w:after="120"/>
        <w:jc w:val="both"/>
        <w:rPr>
          <w:rFonts w:ascii="Arial" w:hAnsi="Arial" w:cs="Arial"/>
        </w:rPr>
      </w:pPr>
    </w:p>
    <w:p w:rsidR="0006724C" w:rsidRDefault="0006724C" w:rsidP="00E05566">
      <w:pPr>
        <w:spacing w:before="120" w:after="120"/>
        <w:jc w:val="both"/>
        <w:rPr>
          <w:rFonts w:ascii="Arial" w:hAnsi="Arial" w:cs="Arial"/>
        </w:rPr>
      </w:pPr>
    </w:p>
    <w:p w:rsidR="0006724C" w:rsidRDefault="0006724C" w:rsidP="00E05566">
      <w:pPr>
        <w:spacing w:before="120" w:after="120"/>
        <w:jc w:val="both"/>
        <w:rPr>
          <w:rFonts w:ascii="Arial" w:hAnsi="Arial" w:cs="Arial"/>
        </w:rPr>
      </w:pPr>
    </w:p>
    <w:p w:rsidR="0006724C" w:rsidRDefault="0006724C" w:rsidP="00E05566">
      <w:pPr>
        <w:spacing w:before="120" w:after="120"/>
        <w:jc w:val="both"/>
        <w:rPr>
          <w:rFonts w:ascii="Arial" w:hAnsi="Arial" w:cs="Arial"/>
        </w:rPr>
      </w:pPr>
    </w:p>
    <w:p w:rsidR="00E05566" w:rsidRPr="0006724C" w:rsidRDefault="00E05566" w:rsidP="0006724C">
      <w:pPr>
        <w:spacing w:before="120" w:after="120"/>
        <w:ind w:firstLine="708"/>
        <w:jc w:val="both"/>
        <w:rPr>
          <w:rFonts w:ascii="Arial" w:hAnsi="Arial" w:cs="Arial"/>
          <w:b/>
        </w:rPr>
      </w:pPr>
      <w:r w:rsidRPr="0006724C">
        <w:rPr>
          <w:rFonts w:ascii="Arial" w:hAnsi="Arial" w:cs="Arial"/>
          <w:b/>
        </w:rPr>
        <w:lastRenderedPageBreak/>
        <w:t xml:space="preserve">Az építményadó kivetések </w:t>
      </w:r>
      <w:proofErr w:type="spellStart"/>
      <w:r w:rsidRPr="0006724C">
        <w:rPr>
          <w:rFonts w:ascii="Arial" w:hAnsi="Arial" w:cs="Arial"/>
          <w:b/>
        </w:rPr>
        <w:t>fajtánként</w:t>
      </w:r>
      <w:proofErr w:type="spellEnd"/>
      <w:r w:rsidRPr="0006724C">
        <w:rPr>
          <w:rFonts w:ascii="Arial" w:hAnsi="Arial" w:cs="Arial"/>
          <w:b/>
        </w:rPr>
        <w:t xml:space="preserve"> az alábbiak szerint oszlanak meg:</w:t>
      </w:r>
    </w:p>
    <w:tbl>
      <w:tblPr>
        <w:tblW w:w="7792" w:type="dxa"/>
        <w:jc w:val="center"/>
        <w:tblCellMar>
          <w:left w:w="70" w:type="dxa"/>
          <w:right w:w="70" w:type="dxa"/>
        </w:tblCellMar>
        <w:tblLook w:val="04A0" w:firstRow="1" w:lastRow="0" w:firstColumn="1" w:lastColumn="0" w:noHBand="0" w:noVBand="1"/>
      </w:tblPr>
      <w:tblGrid>
        <w:gridCol w:w="1340"/>
        <w:gridCol w:w="1340"/>
        <w:gridCol w:w="1571"/>
        <w:gridCol w:w="1540"/>
        <w:gridCol w:w="2001"/>
      </w:tblGrid>
      <w:tr w:rsidR="00C52F90" w:rsidRPr="00C52F90" w:rsidTr="002A36AE">
        <w:trPr>
          <w:trHeight w:val="1800"/>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5566" w:rsidRPr="0006724C" w:rsidRDefault="00E05566" w:rsidP="002A36AE">
            <w:pPr>
              <w:spacing w:after="0"/>
              <w:jc w:val="center"/>
              <w:rPr>
                <w:rFonts w:ascii="Arial" w:eastAsia="Times New Roman" w:hAnsi="Arial" w:cs="Arial"/>
                <w:bCs/>
                <w:lang w:eastAsia="hu-HU"/>
              </w:rPr>
            </w:pPr>
            <w:r w:rsidRPr="0006724C">
              <w:rPr>
                <w:rFonts w:ascii="Arial" w:eastAsia="Times New Roman" w:hAnsi="Arial" w:cs="Arial"/>
                <w:bCs/>
                <w:lang w:eastAsia="hu-HU"/>
              </w:rPr>
              <w:t>Lakás darabszám</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05566" w:rsidRPr="0006724C" w:rsidRDefault="00E05566" w:rsidP="002A36AE">
            <w:pPr>
              <w:spacing w:after="0"/>
              <w:jc w:val="center"/>
              <w:rPr>
                <w:rFonts w:ascii="Arial" w:eastAsia="Times New Roman" w:hAnsi="Arial" w:cs="Arial"/>
                <w:bCs/>
                <w:lang w:eastAsia="hu-HU"/>
              </w:rPr>
            </w:pPr>
            <w:r w:rsidRPr="0006724C">
              <w:rPr>
                <w:rFonts w:ascii="Arial" w:eastAsia="Times New Roman" w:hAnsi="Arial" w:cs="Arial"/>
                <w:bCs/>
                <w:lang w:eastAsia="hu-HU"/>
              </w:rPr>
              <w:t>Üdülő darabszám</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rsidR="00E05566" w:rsidRPr="0006724C" w:rsidRDefault="00E05566" w:rsidP="002A36AE">
            <w:pPr>
              <w:spacing w:after="0"/>
              <w:jc w:val="center"/>
              <w:rPr>
                <w:rFonts w:ascii="Arial" w:eastAsia="Times New Roman" w:hAnsi="Arial" w:cs="Arial"/>
                <w:bCs/>
                <w:lang w:eastAsia="hu-HU"/>
              </w:rPr>
            </w:pPr>
            <w:r w:rsidRPr="0006724C">
              <w:rPr>
                <w:rFonts w:ascii="Arial" w:eastAsia="Times New Roman" w:hAnsi="Arial" w:cs="Arial"/>
                <w:bCs/>
                <w:lang w:eastAsia="hu-HU"/>
              </w:rPr>
              <w:t>Kereskedelmi egység darabszám</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E05566" w:rsidRPr="0006724C" w:rsidRDefault="00E05566" w:rsidP="002A36AE">
            <w:pPr>
              <w:spacing w:after="0"/>
              <w:jc w:val="center"/>
              <w:rPr>
                <w:rFonts w:ascii="Arial" w:eastAsia="Times New Roman" w:hAnsi="Arial" w:cs="Arial"/>
                <w:bCs/>
                <w:lang w:eastAsia="hu-HU"/>
              </w:rPr>
            </w:pPr>
            <w:r w:rsidRPr="0006724C">
              <w:rPr>
                <w:rFonts w:ascii="Arial" w:eastAsia="Times New Roman" w:hAnsi="Arial" w:cs="Arial"/>
                <w:bCs/>
                <w:lang w:eastAsia="hu-HU"/>
              </w:rPr>
              <w:t>Szállásépület darabszám</w:t>
            </w:r>
          </w:p>
        </w:tc>
        <w:tc>
          <w:tcPr>
            <w:tcW w:w="2001" w:type="dxa"/>
            <w:tcBorders>
              <w:top w:val="single" w:sz="4" w:space="0" w:color="auto"/>
              <w:left w:val="nil"/>
              <w:bottom w:val="single" w:sz="4" w:space="0" w:color="auto"/>
              <w:right w:val="single" w:sz="4" w:space="0" w:color="auto"/>
            </w:tcBorders>
            <w:shd w:val="clear" w:color="auto" w:fill="auto"/>
            <w:vAlign w:val="center"/>
            <w:hideMark/>
          </w:tcPr>
          <w:p w:rsidR="00E05566" w:rsidRPr="0006724C" w:rsidRDefault="00E05566" w:rsidP="002A36AE">
            <w:pPr>
              <w:spacing w:after="0"/>
              <w:jc w:val="center"/>
              <w:rPr>
                <w:rFonts w:ascii="Arial" w:eastAsia="Times New Roman" w:hAnsi="Arial" w:cs="Arial"/>
                <w:bCs/>
                <w:lang w:eastAsia="hu-HU"/>
              </w:rPr>
            </w:pPr>
            <w:r w:rsidRPr="0006724C">
              <w:rPr>
                <w:rFonts w:ascii="Arial" w:eastAsia="Times New Roman" w:hAnsi="Arial" w:cs="Arial"/>
                <w:bCs/>
                <w:lang w:eastAsia="hu-HU"/>
              </w:rPr>
              <w:t>Egyéb nem lakás céljára szolgáló épület darabszám</w:t>
            </w:r>
          </w:p>
        </w:tc>
      </w:tr>
      <w:tr w:rsidR="00E05566" w:rsidRPr="00C52F90" w:rsidTr="002A36AE">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E05566" w:rsidRPr="003205C7" w:rsidRDefault="00E05566" w:rsidP="002A36AE">
            <w:pPr>
              <w:spacing w:after="0"/>
              <w:jc w:val="right"/>
              <w:rPr>
                <w:rFonts w:ascii="Arial" w:eastAsia="Times New Roman" w:hAnsi="Arial" w:cs="Arial"/>
                <w:b/>
                <w:bCs/>
                <w:lang w:eastAsia="hu-HU"/>
              </w:rPr>
            </w:pPr>
            <w:r w:rsidRPr="003205C7">
              <w:rPr>
                <w:rFonts w:ascii="Arial" w:eastAsia="Times New Roman" w:hAnsi="Arial" w:cs="Arial"/>
                <w:b/>
                <w:bCs/>
                <w:lang w:eastAsia="hu-HU"/>
              </w:rPr>
              <w:t xml:space="preserve">4 </w:t>
            </w:r>
            <w:r w:rsidR="003205C7">
              <w:rPr>
                <w:rFonts w:ascii="Arial" w:eastAsia="Times New Roman" w:hAnsi="Arial" w:cs="Arial"/>
                <w:b/>
                <w:bCs/>
                <w:lang w:eastAsia="hu-HU"/>
              </w:rPr>
              <w:t>362</w:t>
            </w:r>
          </w:p>
        </w:tc>
        <w:tc>
          <w:tcPr>
            <w:tcW w:w="1340" w:type="dxa"/>
            <w:tcBorders>
              <w:top w:val="nil"/>
              <w:left w:val="nil"/>
              <w:bottom w:val="single" w:sz="4" w:space="0" w:color="auto"/>
              <w:right w:val="single" w:sz="4" w:space="0" w:color="auto"/>
            </w:tcBorders>
            <w:shd w:val="clear" w:color="auto" w:fill="auto"/>
            <w:noWrap/>
            <w:vAlign w:val="bottom"/>
            <w:hideMark/>
          </w:tcPr>
          <w:p w:rsidR="00E05566" w:rsidRPr="003205C7" w:rsidRDefault="00E05566" w:rsidP="002A36AE">
            <w:pPr>
              <w:spacing w:after="0"/>
              <w:jc w:val="right"/>
              <w:rPr>
                <w:rFonts w:ascii="Arial" w:eastAsia="Times New Roman" w:hAnsi="Arial" w:cs="Arial"/>
                <w:b/>
                <w:bCs/>
                <w:lang w:eastAsia="hu-HU"/>
              </w:rPr>
            </w:pPr>
            <w:r w:rsidRPr="003205C7">
              <w:rPr>
                <w:rFonts w:ascii="Arial" w:eastAsia="Times New Roman" w:hAnsi="Arial" w:cs="Arial"/>
                <w:b/>
                <w:bCs/>
                <w:lang w:eastAsia="hu-HU"/>
              </w:rPr>
              <w:t>1</w:t>
            </w:r>
            <w:r w:rsidR="003205C7">
              <w:rPr>
                <w:rFonts w:ascii="Arial" w:eastAsia="Times New Roman" w:hAnsi="Arial" w:cs="Arial"/>
                <w:b/>
                <w:bCs/>
                <w:lang w:eastAsia="hu-HU"/>
              </w:rPr>
              <w:t>19</w:t>
            </w:r>
          </w:p>
        </w:tc>
        <w:tc>
          <w:tcPr>
            <w:tcW w:w="1571" w:type="dxa"/>
            <w:tcBorders>
              <w:top w:val="nil"/>
              <w:left w:val="nil"/>
              <w:bottom w:val="single" w:sz="4" w:space="0" w:color="auto"/>
              <w:right w:val="single" w:sz="4" w:space="0" w:color="auto"/>
            </w:tcBorders>
            <w:shd w:val="clear" w:color="auto" w:fill="auto"/>
            <w:noWrap/>
            <w:vAlign w:val="bottom"/>
            <w:hideMark/>
          </w:tcPr>
          <w:p w:rsidR="00E05566" w:rsidRPr="003205C7" w:rsidRDefault="003205C7" w:rsidP="002A36AE">
            <w:pPr>
              <w:spacing w:after="0"/>
              <w:jc w:val="right"/>
              <w:rPr>
                <w:rFonts w:ascii="Arial" w:eastAsia="Times New Roman" w:hAnsi="Arial" w:cs="Arial"/>
                <w:b/>
                <w:bCs/>
                <w:lang w:eastAsia="hu-HU"/>
              </w:rPr>
            </w:pPr>
            <w:r>
              <w:rPr>
                <w:rFonts w:ascii="Arial" w:eastAsia="Times New Roman" w:hAnsi="Arial" w:cs="Arial"/>
                <w:b/>
                <w:bCs/>
                <w:lang w:eastAsia="hu-HU"/>
              </w:rPr>
              <w:t>535</w:t>
            </w:r>
          </w:p>
        </w:tc>
        <w:tc>
          <w:tcPr>
            <w:tcW w:w="1540" w:type="dxa"/>
            <w:tcBorders>
              <w:top w:val="nil"/>
              <w:left w:val="nil"/>
              <w:bottom w:val="single" w:sz="4" w:space="0" w:color="auto"/>
              <w:right w:val="single" w:sz="4" w:space="0" w:color="auto"/>
            </w:tcBorders>
            <w:shd w:val="clear" w:color="auto" w:fill="auto"/>
            <w:noWrap/>
            <w:vAlign w:val="bottom"/>
            <w:hideMark/>
          </w:tcPr>
          <w:p w:rsidR="00E05566" w:rsidRPr="003205C7" w:rsidRDefault="00E05566" w:rsidP="002A36AE">
            <w:pPr>
              <w:spacing w:after="0"/>
              <w:jc w:val="right"/>
              <w:rPr>
                <w:rFonts w:ascii="Arial" w:eastAsia="Times New Roman" w:hAnsi="Arial" w:cs="Arial"/>
                <w:b/>
                <w:bCs/>
                <w:lang w:eastAsia="hu-HU"/>
              </w:rPr>
            </w:pPr>
            <w:r w:rsidRPr="003205C7">
              <w:rPr>
                <w:rFonts w:ascii="Arial" w:eastAsia="Times New Roman" w:hAnsi="Arial" w:cs="Arial"/>
                <w:b/>
                <w:bCs/>
                <w:lang w:eastAsia="hu-HU"/>
              </w:rPr>
              <w:t>4</w:t>
            </w:r>
            <w:r w:rsidR="003205C7">
              <w:rPr>
                <w:rFonts w:ascii="Arial" w:eastAsia="Times New Roman" w:hAnsi="Arial" w:cs="Arial"/>
                <w:b/>
                <w:bCs/>
                <w:lang w:eastAsia="hu-HU"/>
              </w:rPr>
              <w:t>5</w:t>
            </w:r>
          </w:p>
        </w:tc>
        <w:tc>
          <w:tcPr>
            <w:tcW w:w="2001" w:type="dxa"/>
            <w:tcBorders>
              <w:top w:val="nil"/>
              <w:left w:val="nil"/>
              <w:bottom w:val="single" w:sz="4" w:space="0" w:color="auto"/>
              <w:right w:val="single" w:sz="4" w:space="0" w:color="auto"/>
            </w:tcBorders>
            <w:shd w:val="clear" w:color="auto" w:fill="auto"/>
            <w:noWrap/>
            <w:vAlign w:val="bottom"/>
            <w:hideMark/>
          </w:tcPr>
          <w:p w:rsidR="00E05566" w:rsidRPr="003205C7" w:rsidRDefault="00E05566" w:rsidP="002A36AE">
            <w:pPr>
              <w:spacing w:after="0"/>
              <w:jc w:val="right"/>
              <w:rPr>
                <w:rFonts w:ascii="Arial" w:eastAsia="Times New Roman" w:hAnsi="Arial" w:cs="Arial"/>
                <w:b/>
                <w:bCs/>
                <w:lang w:eastAsia="hu-HU"/>
              </w:rPr>
            </w:pPr>
            <w:r w:rsidRPr="003205C7">
              <w:rPr>
                <w:rFonts w:ascii="Arial" w:eastAsia="Times New Roman" w:hAnsi="Arial" w:cs="Arial"/>
                <w:b/>
                <w:bCs/>
                <w:lang w:eastAsia="hu-HU"/>
              </w:rPr>
              <w:t>1 6</w:t>
            </w:r>
            <w:r w:rsidR="003205C7">
              <w:rPr>
                <w:rFonts w:ascii="Arial" w:eastAsia="Times New Roman" w:hAnsi="Arial" w:cs="Arial"/>
                <w:b/>
                <w:bCs/>
                <w:lang w:eastAsia="hu-HU"/>
              </w:rPr>
              <w:t>76</w:t>
            </w:r>
          </w:p>
        </w:tc>
      </w:tr>
    </w:tbl>
    <w:p w:rsidR="00E05566" w:rsidRPr="00C52F90" w:rsidRDefault="00E05566" w:rsidP="0006724C">
      <w:pPr>
        <w:contextualSpacing/>
        <w:jc w:val="both"/>
        <w:rPr>
          <w:rFonts w:ascii="Arial" w:hAnsi="Arial" w:cs="Arial"/>
        </w:rPr>
      </w:pPr>
    </w:p>
    <w:p w:rsidR="00E05566" w:rsidRDefault="00E05566" w:rsidP="0006724C">
      <w:pPr>
        <w:pStyle w:val="Listaszerbekezds"/>
        <w:spacing w:after="200" w:line="276" w:lineRule="auto"/>
        <w:ind w:left="0"/>
        <w:jc w:val="both"/>
        <w:rPr>
          <w:rFonts w:ascii="Arial" w:hAnsi="Arial" w:cs="Arial"/>
        </w:rPr>
      </w:pPr>
      <w:bookmarkStart w:id="1" w:name="_Hlk98924259"/>
      <w:r w:rsidRPr="00C52F90">
        <w:rPr>
          <w:rFonts w:ascii="Arial" w:hAnsi="Arial" w:cs="Arial"/>
        </w:rPr>
        <w:t xml:space="preserve">A hatályos 4/2010. (II.10.) önkormányzati rendelet – a továbbiakban: Ör. - 5. § (1) bekezdése </w:t>
      </w:r>
      <w:r w:rsidR="007B1BBC">
        <w:rPr>
          <w:rFonts w:ascii="Arial" w:hAnsi="Arial" w:cs="Arial"/>
        </w:rPr>
        <w:t xml:space="preserve">100 % </w:t>
      </w:r>
      <w:r w:rsidRPr="00C52F90">
        <w:rPr>
          <w:rFonts w:ascii="Arial" w:hAnsi="Arial" w:cs="Arial"/>
        </w:rPr>
        <w:t>adókedvezményt biztosít a magánszemély tulajdonosoknak, (illetve a Helyi adó tv. szerint az ingatlanra bejegyzett vagyoni értékű jog jogosultjainak) – tulajdonuk arányában – a lakás</w:t>
      </w:r>
      <w:r w:rsidR="004163BF">
        <w:rPr>
          <w:rFonts w:ascii="Arial" w:hAnsi="Arial" w:cs="Arial"/>
        </w:rPr>
        <w:t xml:space="preserve"> céljára </w:t>
      </w:r>
      <w:r w:rsidRPr="00C52F90">
        <w:rPr>
          <w:rFonts w:ascii="Arial" w:hAnsi="Arial" w:cs="Arial"/>
        </w:rPr>
        <w:t>szolgáló ingatlanuk, és a lakáshoz tartozó rendeltetésszerűen használt gépjárműtároló után.</w:t>
      </w:r>
    </w:p>
    <w:p w:rsidR="00DA740B" w:rsidRDefault="00DA740B" w:rsidP="0006724C">
      <w:pPr>
        <w:pStyle w:val="Listaszerbekezds"/>
        <w:spacing w:after="200" w:line="276" w:lineRule="auto"/>
        <w:ind w:left="0"/>
        <w:jc w:val="both"/>
        <w:rPr>
          <w:rFonts w:ascii="Arial" w:hAnsi="Arial" w:cs="Arial"/>
        </w:rPr>
      </w:pPr>
    </w:p>
    <w:tbl>
      <w:tblPr>
        <w:tblW w:w="9520" w:type="dxa"/>
        <w:tblInd w:w="-10" w:type="dxa"/>
        <w:tblCellMar>
          <w:left w:w="0" w:type="dxa"/>
          <w:right w:w="0" w:type="dxa"/>
        </w:tblCellMar>
        <w:tblLook w:val="04A0" w:firstRow="1" w:lastRow="0" w:firstColumn="1" w:lastColumn="0" w:noHBand="0" w:noVBand="1"/>
      </w:tblPr>
      <w:tblGrid>
        <w:gridCol w:w="4780"/>
        <w:gridCol w:w="1580"/>
        <w:gridCol w:w="1580"/>
        <w:gridCol w:w="1580"/>
      </w:tblGrid>
      <w:tr w:rsidR="00DA740B" w:rsidTr="00E85E30">
        <w:trPr>
          <w:trHeight w:val="300"/>
        </w:trPr>
        <w:tc>
          <w:tcPr>
            <w:tcW w:w="47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rPr>
                <w:rFonts w:ascii="Arial" w:hAnsi="Arial" w:cs="Arial"/>
                <w:b/>
                <w:sz w:val="18"/>
                <w:szCs w:val="18"/>
                <w:lang w:eastAsia="hu-HU"/>
              </w:rPr>
            </w:pPr>
            <w:r w:rsidRPr="00EB2B9E">
              <w:rPr>
                <w:rFonts w:ascii="Arial" w:hAnsi="Arial" w:cs="Arial"/>
                <w:b/>
                <w:sz w:val="18"/>
                <w:szCs w:val="18"/>
                <w:lang w:eastAsia="hu-HU"/>
              </w:rPr>
              <w:t>2021. évi adatok</w:t>
            </w:r>
          </w:p>
        </w:tc>
        <w:tc>
          <w:tcPr>
            <w:tcW w:w="4740" w:type="dxa"/>
            <w:gridSpan w:val="3"/>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ascii="Arial" w:hAnsi="Arial" w:cs="Arial"/>
                <w:b/>
                <w:bCs/>
                <w:color w:val="000000"/>
                <w:sz w:val="18"/>
                <w:szCs w:val="18"/>
                <w:lang w:eastAsia="hu-HU"/>
              </w:rPr>
            </w:pPr>
            <w:r>
              <w:rPr>
                <w:rFonts w:ascii="Arial" w:hAnsi="Arial" w:cs="Arial"/>
                <w:b/>
                <w:bCs/>
                <w:color w:val="000000"/>
                <w:sz w:val="18"/>
                <w:szCs w:val="18"/>
                <w:lang w:eastAsia="hu-HU"/>
              </w:rPr>
              <w:t>Terület szerinti adózás esetén</w:t>
            </w:r>
          </w:p>
        </w:tc>
      </w:tr>
      <w:tr w:rsidR="00DA740B" w:rsidTr="00E85E30">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rPr>
                <w:rFonts w:ascii="Arial" w:hAnsi="Arial" w:cs="Arial"/>
                <w:sz w:val="18"/>
                <w:szCs w:val="18"/>
                <w:lang w:eastAsia="hu-HU"/>
              </w:rPr>
            </w:pPr>
            <w:r>
              <w:rPr>
                <w:rFonts w:ascii="Arial" w:hAnsi="Arial" w:cs="Arial"/>
                <w:sz w:val="18"/>
                <w:szCs w:val="18"/>
                <w:lang w:eastAsia="hu-HU"/>
              </w:rPr>
              <w:t>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 xml:space="preserve">Adótárgyak </w:t>
            </w:r>
          </w:p>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A.</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Terület</w:t>
            </w:r>
          </w:p>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Adómegállapítás</w:t>
            </w:r>
          </w:p>
          <w:p w:rsidR="00DA740B" w:rsidRDefault="00DA740B" w:rsidP="00E85E30">
            <w:pPr>
              <w:spacing w:after="0" w:line="240" w:lineRule="auto"/>
              <w:jc w:val="center"/>
              <w:rPr>
                <w:rFonts w:ascii="Arial" w:hAnsi="Arial" w:cs="Arial"/>
                <w:color w:val="000000"/>
                <w:sz w:val="18"/>
                <w:szCs w:val="18"/>
                <w:lang w:eastAsia="hu-HU"/>
              </w:rPr>
            </w:pPr>
            <w:r>
              <w:rPr>
                <w:rFonts w:ascii="Arial" w:hAnsi="Arial" w:cs="Arial"/>
                <w:color w:val="000000"/>
                <w:sz w:val="18"/>
                <w:szCs w:val="18"/>
                <w:lang w:eastAsia="hu-HU"/>
              </w:rPr>
              <w:t>C.</w:t>
            </w:r>
          </w:p>
        </w:tc>
      </w:tr>
      <w:tr w:rsidR="00DA740B" w:rsidTr="00E85E30">
        <w:trPr>
          <w:trHeight w:val="345"/>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ascii="Arial" w:hAnsi="Arial" w:cs="Arial"/>
                <w:sz w:val="18"/>
                <w:szCs w:val="18"/>
                <w:lang w:eastAsia="hu-HU"/>
              </w:rPr>
            </w:pPr>
            <w:r>
              <w:rPr>
                <w:rFonts w:ascii="Arial" w:hAnsi="Arial" w:cs="Arial"/>
                <w:sz w:val="18"/>
                <w:szCs w:val="18"/>
                <w:lang w:eastAsia="hu-HU"/>
              </w:rPr>
              <w:t>Megnevezés</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rFonts w:cs="Calibri"/>
                <w:color w:val="000000"/>
                <w:lang w:eastAsia="hu-HU"/>
              </w:rPr>
            </w:pPr>
            <w:r>
              <w:rPr>
                <w:color w:val="000000"/>
                <w:lang w:eastAsia="hu-HU"/>
              </w:rPr>
              <w:t>száma (db)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color w:val="000000"/>
                <w:lang w:eastAsia="hu-HU"/>
              </w:rPr>
            </w:pPr>
            <w:r>
              <w:rPr>
                <w:color w:val="000000"/>
                <w:lang w:eastAsia="hu-HU"/>
              </w:rPr>
              <w:t>(m</w:t>
            </w:r>
            <w:r>
              <w:rPr>
                <w:color w:val="000000"/>
                <w:vertAlign w:val="superscript"/>
                <w:lang w:eastAsia="hu-HU"/>
              </w:rPr>
              <w:t>2</w:t>
            </w:r>
            <w:r>
              <w:rPr>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center"/>
              <w:rPr>
                <w:color w:val="000000"/>
                <w:lang w:eastAsia="hu-HU"/>
              </w:rPr>
            </w:pPr>
            <w:r>
              <w:rPr>
                <w:color w:val="000000"/>
                <w:lang w:eastAsia="hu-HU"/>
              </w:rPr>
              <w:t>(Ft)</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EB2B9E" w:rsidRDefault="00DA740B" w:rsidP="00E85E30">
            <w:pPr>
              <w:spacing w:after="0" w:line="240" w:lineRule="auto"/>
              <w:rPr>
                <w:rFonts w:ascii="Arial" w:hAnsi="Arial" w:cs="Arial"/>
                <w:b/>
                <w:color w:val="222222"/>
                <w:sz w:val="20"/>
                <w:szCs w:val="20"/>
                <w:lang w:eastAsia="hu-HU"/>
              </w:rPr>
            </w:pPr>
            <w:r w:rsidRPr="00EB2B9E">
              <w:rPr>
                <w:rFonts w:ascii="Arial" w:hAnsi="Arial" w:cs="Arial"/>
                <w:b/>
                <w:color w:val="222222"/>
                <w:sz w:val="20"/>
                <w:szCs w:val="20"/>
                <w:lang w:eastAsia="hu-HU"/>
              </w:rPr>
              <w:t>Lakás és lakóépület (</w:t>
            </w:r>
            <w:r w:rsidRPr="00EB2B9E">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4 284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325 830</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195 498 013</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rPr>
                <w:rFonts w:ascii="Arial" w:hAnsi="Arial" w:cs="Arial"/>
                <w:color w:val="222222"/>
                <w:sz w:val="18"/>
                <w:szCs w:val="18"/>
                <w:lang w:eastAsia="hu-HU"/>
              </w:rPr>
            </w:pPr>
            <w:r>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2 248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214 127</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128 475 992</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EB2B9E" w:rsidRDefault="00DA740B" w:rsidP="00E85E30">
            <w:pPr>
              <w:spacing w:after="0" w:line="240" w:lineRule="auto"/>
              <w:rPr>
                <w:rFonts w:ascii="Arial" w:hAnsi="Arial" w:cs="Arial"/>
                <w:b/>
                <w:bCs/>
                <w:color w:val="222222"/>
                <w:sz w:val="20"/>
                <w:szCs w:val="20"/>
                <w:lang w:eastAsia="hu-HU"/>
              </w:rPr>
            </w:pPr>
            <w:r w:rsidRPr="00EB2B9E">
              <w:rPr>
                <w:rFonts w:ascii="Arial" w:hAnsi="Arial" w:cs="Arial"/>
                <w:b/>
                <w:bCs/>
                <w:color w:val="222222"/>
                <w:sz w:val="20"/>
                <w:szCs w:val="20"/>
                <w:lang w:eastAsia="hu-HU"/>
              </w:rPr>
              <w:t>Üdülő épület (</w:t>
            </w:r>
            <w:r w:rsidRPr="00EB2B9E">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EB2B9E" w:rsidRDefault="00DA740B" w:rsidP="00E85E30">
            <w:pPr>
              <w:spacing w:after="0" w:line="240" w:lineRule="auto"/>
              <w:jc w:val="right"/>
              <w:rPr>
                <w:rFonts w:ascii="Arial" w:hAnsi="Arial" w:cs="Arial"/>
                <w:bCs/>
                <w:color w:val="222222"/>
                <w:sz w:val="18"/>
                <w:szCs w:val="18"/>
                <w:lang w:eastAsia="hu-HU"/>
              </w:rPr>
            </w:pPr>
            <w:r w:rsidRPr="00EB2B9E">
              <w:rPr>
                <w:rFonts w:ascii="Arial" w:hAnsi="Arial" w:cs="Arial"/>
                <w:bCs/>
                <w:color w:val="222222"/>
                <w:sz w:val="18"/>
                <w:szCs w:val="18"/>
                <w:lang w:eastAsia="hu-HU"/>
              </w:rPr>
              <w:t>121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EB2B9E" w:rsidRDefault="00DA740B" w:rsidP="00E85E30">
            <w:pPr>
              <w:spacing w:after="0" w:line="240" w:lineRule="auto"/>
              <w:jc w:val="right"/>
              <w:rPr>
                <w:rFonts w:ascii="Arial" w:hAnsi="Arial" w:cs="Arial"/>
                <w:bCs/>
                <w:color w:val="222222"/>
                <w:sz w:val="18"/>
                <w:szCs w:val="18"/>
                <w:lang w:eastAsia="hu-HU"/>
              </w:rPr>
            </w:pPr>
            <w:r w:rsidRPr="00EB2B9E">
              <w:rPr>
                <w:rFonts w:ascii="Arial" w:hAnsi="Arial" w:cs="Arial"/>
                <w:bCs/>
                <w:color w:val="222222"/>
                <w:sz w:val="18"/>
                <w:szCs w:val="18"/>
                <w:lang w:eastAsia="hu-HU"/>
              </w:rPr>
              <w:t>7 868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EB2B9E" w:rsidRDefault="00DA740B" w:rsidP="00E85E30">
            <w:pPr>
              <w:spacing w:after="0" w:line="240" w:lineRule="auto"/>
              <w:jc w:val="right"/>
              <w:rPr>
                <w:rFonts w:ascii="Arial" w:hAnsi="Arial" w:cs="Arial"/>
                <w:bCs/>
                <w:color w:val="222222"/>
                <w:sz w:val="18"/>
                <w:szCs w:val="18"/>
                <w:lang w:eastAsia="hu-HU"/>
              </w:rPr>
            </w:pPr>
            <w:r w:rsidRPr="00EB2B9E">
              <w:rPr>
                <w:rFonts w:ascii="Arial" w:hAnsi="Arial" w:cs="Arial"/>
                <w:bCs/>
                <w:color w:val="222222"/>
                <w:sz w:val="18"/>
                <w:szCs w:val="18"/>
                <w:lang w:eastAsia="hu-HU"/>
              </w:rPr>
              <w:t>4 720 701</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rPr>
                <w:rFonts w:ascii="Arial" w:hAnsi="Arial" w:cs="Arial"/>
                <w:color w:val="222222"/>
                <w:sz w:val="18"/>
                <w:szCs w:val="18"/>
                <w:lang w:eastAsia="hu-HU"/>
              </w:rPr>
            </w:pPr>
            <w:r>
              <w:rPr>
                <w:rFonts w:ascii="Arial" w:hAnsi="Arial" w:cs="Arial"/>
                <w:sz w:val="18"/>
                <w:szCs w:val="18"/>
                <w:lang w:eastAsia="hu-HU"/>
              </w:rPr>
              <w:t>- ebből 100%-os kedvezményt érvényesítő</w:t>
            </w:r>
            <w:r>
              <w:rPr>
                <w:rFonts w:ascii="Arial" w:hAnsi="Arial" w:cs="Arial"/>
                <w:color w:val="222222"/>
                <w:sz w:val="18"/>
                <w:szCs w:val="18"/>
                <w:lang w:eastAsia="hu-HU"/>
              </w:rPr>
              <w:t xml:space="preserve">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1 084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650 232</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B57C1F" w:rsidRDefault="00DA740B" w:rsidP="00E85E30">
            <w:pPr>
              <w:spacing w:after="0" w:line="240" w:lineRule="auto"/>
              <w:rPr>
                <w:rFonts w:ascii="Arial" w:hAnsi="Arial" w:cs="Arial"/>
                <w:b/>
                <w:color w:val="222222"/>
                <w:sz w:val="18"/>
                <w:szCs w:val="18"/>
                <w:lang w:eastAsia="hu-HU"/>
              </w:rPr>
            </w:pPr>
            <w:r w:rsidRPr="00EB2B9E">
              <w:rPr>
                <w:rFonts w:ascii="Arial" w:hAnsi="Arial" w:cs="Arial"/>
                <w:b/>
                <w:color w:val="222222"/>
                <w:sz w:val="20"/>
                <w:szCs w:val="20"/>
                <w:lang w:eastAsia="hu-HU"/>
              </w:rPr>
              <w:t xml:space="preserve">Egyéb nem lakás, üdülő céljára szolgáló építmény </w:t>
            </w:r>
            <w:r w:rsidRPr="00EB2B9E">
              <w:rPr>
                <w:rFonts w:ascii="Arial" w:hAnsi="Arial" w:cs="Arial"/>
                <w:color w:val="222222"/>
                <w:sz w:val="20"/>
                <w:szCs w:val="20"/>
                <w:lang w:eastAsia="hu-HU"/>
              </w:rPr>
              <w:t>(tipikusan</w:t>
            </w:r>
            <w:r w:rsidRPr="00B57C1F">
              <w:rPr>
                <w:rFonts w:ascii="Arial" w:hAnsi="Arial" w:cs="Arial"/>
                <w:color w:val="222222"/>
                <w:sz w:val="18"/>
                <w:szCs w:val="18"/>
                <w:lang w:eastAsia="hu-HU"/>
              </w:rPr>
              <w:t xml:space="preserve"> garázs)</w:t>
            </w:r>
            <w:r>
              <w:rPr>
                <w:rFonts w:ascii="Arial" w:hAnsi="Arial" w:cs="Arial"/>
                <w:color w:val="222222"/>
                <w:sz w:val="18"/>
                <w:szCs w:val="18"/>
                <w:lang w:eastAsia="hu-HU"/>
              </w:rPr>
              <w:t xml:space="preserve"> – (</w:t>
            </w:r>
            <w:r w:rsidRPr="00EB2B9E">
              <w:rPr>
                <w:rFonts w:ascii="Arial" w:hAnsi="Arial" w:cs="Arial"/>
                <w:color w:val="222222"/>
                <w:sz w:val="18"/>
                <w:szCs w:val="18"/>
                <w:lang w:eastAsia="hu-HU"/>
              </w:rPr>
              <w:t>összes</w:t>
            </w:r>
            <w:r>
              <w:rPr>
                <w:rFonts w:ascii="Arial" w:hAnsi="Arial" w:cs="Arial"/>
                <w:color w:val="222222"/>
                <w:sz w:val="18"/>
                <w:szCs w:val="18"/>
                <w:lang w:eastAsia="hu-HU"/>
              </w:rPr>
              <w:t>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1 668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35 888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21 532 978</w:t>
            </w:r>
          </w:p>
        </w:tc>
      </w:tr>
      <w:tr w:rsidR="00DA740B" w:rsidTr="00E85E30">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rPr>
                <w:rFonts w:ascii="Arial" w:hAnsi="Arial" w:cs="Arial"/>
                <w:sz w:val="18"/>
                <w:szCs w:val="18"/>
                <w:lang w:eastAsia="hu-HU"/>
              </w:rPr>
            </w:pPr>
            <w:r>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890</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17 178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Default="00DA740B" w:rsidP="00E85E30">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10 306 528</w:t>
            </w:r>
          </w:p>
        </w:tc>
      </w:tr>
      <w:tr w:rsidR="00DA740B" w:rsidTr="00E85E30">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rPr>
                <w:rFonts w:ascii="Arial" w:hAnsi="Arial" w:cs="Arial"/>
                <w:b/>
                <w:color w:val="000000"/>
                <w:sz w:val="20"/>
                <w:szCs w:val="20"/>
                <w:lang w:eastAsia="hu-HU"/>
              </w:rPr>
            </w:pPr>
            <w:r w:rsidRPr="00EB2B9E">
              <w:rPr>
                <w:rFonts w:ascii="Arial" w:hAnsi="Arial" w:cs="Arial"/>
                <w:b/>
                <w:color w:val="000000"/>
                <w:sz w:val="20"/>
                <w:szCs w:val="20"/>
                <w:lang w:eastAsia="hu-HU"/>
              </w:rPr>
              <w:t>Összes építményadó adótárgy és bevétel (C):</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
                <w:color w:val="000000"/>
                <w:lang w:eastAsia="hu-HU"/>
              </w:rPr>
            </w:pPr>
            <w:r w:rsidRPr="00EB2B9E">
              <w:rPr>
                <w:b/>
                <w:color w:val="000000"/>
                <w:lang w:eastAsia="hu-HU"/>
              </w:rPr>
              <w:t>6 073</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
                <w:color w:val="000000"/>
                <w:lang w:eastAsia="hu-HU"/>
              </w:rPr>
            </w:pPr>
            <w:r w:rsidRPr="00EB2B9E">
              <w:rPr>
                <w:b/>
                <w:color w:val="000000"/>
                <w:lang w:eastAsia="hu-HU"/>
              </w:rPr>
              <w:t>369 586</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
                <w:color w:val="000000"/>
                <w:lang w:eastAsia="hu-HU"/>
              </w:rPr>
            </w:pPr>
            <w:r w:rsidRPr="00EB2B9E">
              <w:rPr>
                <w:b/>
                <w:color w:val="000000"/>
                <w:lang w:eastAsia="hu-HU"/>
              </w:rPr>
              <w:t>221 751 692</w:t>
            </w:r>
          </w:p>
        </w:tc>
      </w:tr>
      <w:tr w:rsidR="00DA740B" w:rsidTr="00E85E30">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rPr>
                <w:bCs/>
                <w:color w:val="000000"/>
                <w:lang w:eastAsia="hu-HU"/>
              </w:rPr>
            </w:pPr>
            <w:r w:rsidRPr="00EB2B9E">
              <w:rPr>
                <w:bCs/>
                <w:color w:val="000000"/>
                <w:lang w:eastAsia="hu-HU"/>
              </w:rPr>
              <w:t>- ebből kedvezmény</w:t>
            </w:r>
            <w:r>
              <w:rPr>
                <w:bCs/>
                <w:color w:val="000000"/>
                <w:lang w:eastAsia="hu-HU"/>
              </w:rPr>
              <w:t>ezett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Cs/>
                <w:color w:val="000000"/>
                <w:lang w:eastAsia="hu-HU"/>
              </w:rPr>
            </w:pPr>
            <w:r w:rsidRPr="00EB2B9E">
              <w:rPr>
                <w:bCs/>
                <w:color w:val="000000"/>
                <w:lang w:eastAsia="hu-HU"/>
              </w:rPr>
              <w:t>3</w:t>
            </w:r>
            <w:r>
              <w:rPr>
                <w:bCs/>
                <w:color w:val="000000"/>
                <w:lang w:eastAsia="hu-HU"/>
              </w:rPr>
              <w:t> </w:t>
            </w:r>
            <w:r w:rsidRPr="00EB2B9E">
              <w:rPr>
                <w:bCs/>
                <w:color w:val="000000"/>
                <w:lang w:eastAsia="hu-HU"/>
              </w:rPr>
              <w:t>149</w:t>
            </w:r>
            <w:r>
              <w:rPr>
                <w:bCs/>
                <w:color w:val="000000"/>
                <w:lang w:eastAsia="hu-HU"/>
              </w:rPr>
              <w:t xml:space="preserve"> db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Cs/>
                <w:color w:val="000000"/>
                <w:lang w:eastAsia="hu-HU"/>
              </w:rPr>
            </w:pPr>
            <w:r w:rsidRPr="00EB2B9E">
              <w:rPr>
                <w:bCs/>
                <w:color w:val="000000"/>
                <w:lang w:eastAsia="hu-HU"/>
              </w:rPr>
              <w:t>232</w:t>
            </w:r>
            <w:r>
              <w:rPr>
                <w:bCs/>
                <w:color w:val="000000"/>
                <w:lang w:eastAsia="hu-HU"/>
              </w:rPr>
              <w:t> </w:t>
            </w:r>
            <w:r w:rsidRPr="00EB2B9E">
              <w:rPr>
                <w:bCs/>
                <w:color w:val="000000"/>
                <w:lang w:eastAsia="hu-HU"/>
              </w:rPr>
              <w:t>389</w:t>
            </w:r>
            <w:r>
              <w:rPr>
                <w:bCs/>
                <w:color w:val="000000"/>
                <w:lang w:eastAsia="hu-HU"/>
              </w:rPr>
              <w:t xml:space="preserve"> db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jc w:val="right"/>
              <w:rPr>
                <w:bCs/>
                <w:color w:val="000000"/>
                <w:lang w:eastAsia="hu-HU"/>
              </w:rPr>
            </w:pPr>
            <w:r w:rsidRPr="00EB2B9E">
              <w:rPr>
                <w:bCs/>
                <w:color w:val="000000"/>
                <w:lang w:eastAsia="hu-HU"/>
              </w:rPr>
              <w:t>139 432</w:t>
            </w:r>
            <w:r>
              <w:rPr>
                <w:bCs/>
                <w:color w:val="000000"/>
                <w:lang w:eastAsia="hu-HU"/>
              </w:rPr>
              <w:t> </w:t>
            </w:r>
            <w:r w:rsidRPr="00EB2B9E">
              <w:rPr>
                <w:bCs/>
                <w:color w:val="000000"/>
                <w:lang w:eastAsia="hu-HU"/>
              </w:rPr>
              <w:t>752</w:t>
            </w:r>
            <w:r>
              <w:rPr>
                <w:bCs/>
                <w:color w:val="000000"/>
                <w:lang w:eastAsia="hu-HU"/>
              </w:rPr>
              <w:t xml:space="preserve"> Ft</w:t>
            </w:r>
          </w:p>
        </w:tc>
      </w:tr>
      <w:tr w:rsidR="00DA740B" w:rsidTr="00E85E30">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EB2B9E" w:rsidRDefault="00DA740B" w:rsidP="00E85E30">
            <w:pPr>
              <w:spacing w:after="0" w:line="240" w:lineRule="auto"/>
              <w:rPr>
                <w:bCs/>
                <w:color w:val="000000"/>
                <w:lang w:eastAsia="hu-HU"/>
              </w:rPr>
            </w:pPr>
            <w:r w:rsidRPr="00EB2B9E">
              <w:rPr>
                <w:bCs/>
                <w:color w:val="000000"/>
                <w:lang w:eastAsia="hu-HU"/>
              </w:rPr>
              <w:t>- ebből kedvezmény</w:t>
            </w:r>
            <w:r>
              <w:rPr>
                <w:bCs/>
                <w:color w:val="000000"/>
                <w:lang w:eastAsia="hu-HU"/>
              </w:rPr>
              <w:t>ezett</w:t>
            </w:r>
            <w:r w:rsidRPr="00EB2B9E">
              <w:rPr>
                <w:bCs/>
                <w:color w:val="000000"/>
                <w:lang w:eastAsia="hu-HU"/>
              </w:rPr>
              <w:t xml:space="preserve"> %</w:t>
            </w:r>
            <w:r>
              <w:rPr>
                <w:bCs/>
                <w:color w:val="000000"/>
                <w:lang w:eastAsia="hu-HU"/>
              </w:rPr>
              <w:t>-ban</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right"/>
              <w:rPr>
                <w:b/>
                <w:bCs/>
                <w:color w:val="000000"/>
                <w:lang w:eastAsia="hu-HU"/>
              </w:rPr>
            </w:pPr>
            <w:r>
              <w:rPr>
                <w:b/>
                <w:bCs/>
                <w:color w:val="000000"/>
                <w:lang w:eastAsia="hu-HU"/>
              </w:rPr>
              <w:t>51,85%</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right"/>
              <w:rPr>
                <w:b/>
                <w:bCs/>
                <w:color w:val="000000"/>
                <w:lang w:eastAsia="hu-HU"/>
              </w:rPr>
            </w:pPr>
            <w:r>
              <w:rPr>
                <w:b/>
                <w:bCs/>
                <w:color w:val="000000"/>
                <w:lang w:eastAsia="hu-HU"/>
              </w:rPr>
              <w:t>62,88%</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Default="00DA740B" w:rsidP="00E85E30">
            <w:pPr>
              <w:spacing w:after="0" w:line="240" w:lineRule="auto"/>
              <w:jc w:val="right"/>
              <w:rPr>
                <w:b/>
                <w:bCs/>
                <w:color w:val="000000"/>
                <w:lang w:eastAsia="hu-HU"/>
              </w:rPr>
            </w:pPr>
            <w:r>
              <w:rPr>
                <w:b/>
                <w:bCs/>
                <w:color w:val="000000"/>
                <w:lang w:eastAsia="hu-HU"/>
              </w:rPr>
              <w:t>62,88%</w:t>
            </w:r>
          </w:p>
        </w:tc>
      </w:tr>
    </w:tbl>
    <w:p w:rsidR="00644C3F" w:rsidRDefault="00644C3F" w:rsidP="0006724C">
      <w:pPr>
        <w:pStyle w:val="Listaszerbekezds"/>
        <w:spacing w:after="200" w:line="276" w:lineRule="auto"/>
        <w:ind w:left="0"/>
        <w:jc w:val="both"/>
        <w:rPr>
          <w:rFonts w:ascii="Arial" w:hAnsi="Arial" w:cs="Arial"/>
        </w:rPr>
      </w:pPr>
      <w:bookmarkStart w:id="2" w:name="_GoBack"/>
      <w:bookmarkEnd w:id="1"/>
      <w:bookmarkEnd w:id="2"/>
    </w:p>
    <w:p w:rsidR="00A4229C" w:rsidRPr="00EB2B9E" w:rsidRDefault="00A4229C" w:rsidP="00A4229C">
      <w:pPr>
        <w:ind w:left="6804" w:hanging="6804"/>
        <w:rPr>
          <w:i/>
        </w:rPr>
      </w:pPr>
      <w:r w:rsidRPr="00EB2B9E">
        <w:rPr>
          <w:rFonts w:ascii="Arial" w:hAnsi="Arial" w:cs="Arial"/>
          <w:i/>
          <w:sz w:val="18"/>
          <w:szCs w:val="18"/>
          <w:lang w:eastAsia="hu-HU"/>
        </w:rPr>
        <w:t>Garázs: akkor kedvezményre jogosult</w:t>
      </w:r>
      <w:r>
        <w:rPr>
          <w:rFonts w:ascii="Arial" w:hAnsi="Arial" w:cs="Arial"/>
          <w:i/>
          <w:sz w:val="18"/>
          <w:szCs w:val="18"/>
          <w:lang w:eastAsia="hu-HU"/>
        </w:rPr>
        <w:t>,</w:t>
      </w:r>
      <w:r w:rsidRPr="00EB2B9E">
        <w:rPr>
          <w:rFonts w:ascii="Arial" w:hAnsi="Arial" w:cs="Arial"/>
          <w:i/>
          <w:sz w:val="18"/>
          <w:szCs w:val="18"/>
          <w:lang w:eastAsia="hu-HU"/>
        </w:rPr>
        <w:t xml:space="preserve"> ha egy telken van a lakóépülettel v</w:t>
      </w:r>
      <w:r>
        <w:rPr>
          <w:rFonts w:ascii="Arial" w:hAnsi="Arial" w:cs="Arial"/>
          <w:i/>
          <w:sz w:val="18"/>
          <w:szCs w:val="18"/>
          <w:lang w:eastAsia="hu-HU"/>
        </w:rPr>
        <w:t>agy</w:t>
      </w:r>
      <w:r w:rsidRPr="00EB2B9E">
        <w:rPr>
          <w:rFonts w:ascii="Arial" w:hAnsi="Arial" w:cs="Arial"/>
          <w:i/>
          <w:sz w:val="18"/>
          <w:szCs w:val="18"/>
          <w:lang w:eastAsia="hu-HU"/>
        </w:rPr>
        <w:t xml:space="preserve"> társasházban lakáshoz tartozó</w:t>
      </w:r>
      <w:r>
        <w:rPr>
          <w:rFonts w:ascii="Arial" w:hAnsi="Arial" w:cs="Arial"/>
          <w:i/>
          <w:sz w:val="18"/>
          <w:szCs w:val="18"/>
          <w:lang w:eastAsia="hu-HU"/>
        </w:rPr>
        <w:t>.</w:t>
      </w:r>
    </w:p>
    <w:p w:rsidR="00E05566" w:rsidRPr="00C52F90" w:rsidRDefault="00E05566" w:rsidP="0006724C">
      <w:pPr>
        <w:pStyle w:val="Listaszerbekezds"/>
        <w:spacing w:after="200" w:line="276" w:lineRule="auto"/>
        <w:ind w:left="0"/>
        <w:jc w:val="both"/>
        <w:rPr>
          <w:rFonts w:ascii="Arial" w:hAnsi="Arial" w:cs="Arial"/>
        </w:rPr>
      </w:pPr>
      <w:r w:rsidRPr="00C52F90">
        <w:rPr>
          <w:rFonts w:ascii="Arial" w:hAnsi="Arial" w:cs="Arial"/>
        </w:rPr>
        <w:t>Az ingatlanok területe, valamint az adóztatott terület különbségében a törvényi mentesség hatálya alá tartozó építmények területe is szerepet játszik. A korábbi években történt építési, bővítési munkák során az épületek hasznos alapterülete jelentősen megnövekedett. Ennek ellenére az adózott terület nagysága nem követte ezt a növekedést, mert a helyi lakosoknak biztosított adókedvezmény a teljes ingatlanra vonatkozik. Az építmények egy része nem csak a saját lakáscélú felhasználásra szolgál, hanem idegenforgalommal kapcsolatos bevételi forrást képez. Ezen épületrészek után az adózók szintén kedvezményben részesülnek. A fentiek miatt az adórendelet felülvizsgálata és esetleges módosítása indokolt lenne.</w:t>
      </w:r>
    </w:p>
    <w:p w:rsidR="00095969" w:rsidRPr="00C52F90" w:rsidRDefault="00095969" w:rsidP="00A33E2D">
      <w:pPr>
        <w:pStyle w:val="Listaszerbekezds"/>
        <w:spacing w:line="276" w:lineRule="auto"/>
        <w:ind w:left="0"/>
        <w:rPr>
          <w:rFonts w:ascii="Arial" w:hAnsi="Arial" w:cs="Arial"/>
        </w:rPr>
      </w:pPr>
    </w:p>
    <w:p w:rsidR="00A37707" w:rsidRDefault="00A37707" w:rsidP="00BB6EE0">
      <w:pPr>
        <w:pStyle w:val="Listaszerbekezds"/>
        <w:numPr>
          <w:ilvl w:val="1"/>
          <w:numId w:val="1"/>
        </w:numPr>
        <w:spacing w:after="120" w:line="276" w:lineRule="auto"/>
        <w:rPr>
          <w:rFonts w:ascii="Arial" w:hAnsi="Arial" w:cs="Arial"/>
          <w:b/>
        </w:rPr>
      </w:pPr>
      <w:r w:rsidRPr="00010EBB">
        <w:rPr>
          <w:rFonts w:ascii="Arial" w:hAnsi="Arial" w:cs="Arial"/>
          <w:b/>
        </w:rPr>
        <w:t xml:space="preserve">Helyi iparűzési adó </w:t>
      </w:r>
    </w:p>
    <w:p w:rsidR="00010EBB" w:rsidRDefault="00010EBB" w:rsidP="00112AA4">
      <w:pPr>
        <w:contextualSpacing/>
        <w:jc w:val="both"/>
        <w:rPr>
          <w:rFonts w:ascii="Arial" w:hAnsi="Arial" w:cs="Arial"/>
        </w:rPr>
      </w:pPr>
      <w:r>
        <w:rPr>
          <w:rFonts w:ascii="Arial" w:hAnsi="Arial" w:cs="Arial"/>
        </w:rPr>
        <w:t>A helyi adómérték és kedvezményeink 2021. évre változatlanok maradtak.</w:t>
      </w:r>
    </w:p>
    <w:p w:rsidR="00010EBB" w:rsidRDefault="00010EBB" w:rsidP="00112AA4">
      <w:pPr>
        <w:contextualSpacing/>
        <w:jc w:val="both"/>
        <w:rPr>
          <w:rFonts w:ascii="Arial" w:hAnsi="Arial" w:cs="Arial"/>
        </w:rPr>
      </w:pPr>
      <w:r w:rsidRPr="00C812E8">
        <w:rPr>
          <w:rFonts w:ascii="Arial" w:hAnsi="Arial" w:cs="Arial"/>
        </w:rPr>
        <w:t xml:space="preserve">Hévíz város illetékességi területén az adó mértéke a törvény szerinti maximumban, az állandó jelleggel végzett iparűzési tevékenység esetén az adóalap 2 %-a. </w:t>
      </w:r>
    </w:p>
    <w:p w:rsidR="00010EBB" w:rsidRDefault="00010EBB" w:rsidP="00112AA4">
      <w:pPr>
        <w:contextualSpacing/>
        <w:jc w:val="both"/>
        <w:rPr>
          <w:rFonts w:ascii="Arial" w:hAnsi="Arial" w:cs="Arial"/>
        </w:rPr>
      </w:pPr>
      <w:r>
        <w:rPr>
          <w:rFonts w:ascii="Arial" w:hAnsi="Arial" w:cs="Arial"/>
        </w:rPr>
        <w:t xml:space="preserve">2021. évtől már nem kell a vállalkozásoknak ideiglenes jellegű tevékenység után iparűzési adót fizetni. </w:t>
      </w:r>
    </w:p>
    <w:p w:rsidR="00010EBB" w:rsidRDefault="00010EBB" w:rsidP="00112AA4">
      <w:pPr>
        <w:contextualSpacing/>
        <w:jc w:val="both"/>
        <w:rPr>
          <w:rFonts w:ascii="Arial" w:hAnsi="Arial" w:cs="Arial"/>
        </w:rPr>
      </w:pPr>
      <w:r>
        <w:rPr>
          <w:rFonts w:ascii="Arial" w:hAnsi="Arial" w:cs="Arial"/>
        </w:rPr>
        <w:t>Helyi iparűzési adóban két törvény által is engedélyezett kedvezményezetti kör létezik:</w:t>
      </w:r>
    </w:p>
    <w:p w:rsidR="00010EBB" w:rsidRDefault="00010EBB" w:rsidP="00112AA4">
      <w:pPr>
        <w:pStyle w:val="Listaszerbekezds"/>
        <w:numPr>
          <w:ilvl w:val="0"/>
          <w:numId w:val="29"/>
        </w:numPr>
        <w:spacing w:after="200" w:line="276" w:lineRule="auto"/>
        <w:jc w:val="both"/>
        <w:rPr>
          <w:rFonts w:ascii="Arial" w:hAnsi="Arial" w:cs="Arial"/>
        </w:rPr>
      </w:pPr>
      <w:r>
        <w:rPr>
          <w:rFonts w:ascii="Arial" w:hAnsi="Arial" w:cs="Arial"/>
        </w:rPr>
        <w:lastRenderedPageBreak/>
        <w:t>Az a vállalkozó, akinek a számított (vállalkozási szintű) adóalapja nem haladja meg a 2,5 millió Ft-ot 25 %-os adókedvezményre jogosult.</w:t>
      </w:r>
    </w:p>
    <w:p w:rsidR="00010EBB" w:rsidRDefault="00010EBB" w:rsidP="00112AA4">
      <w:pPr>
        <w:pStyle w:val="Listaszerbekezds"/>
        <w:numPr>
          <w:ilvl w:val="0"/>
          <w:numId w:val="29"/>
        </w:numPr>
        <w:spacing w:after="200" w:line="276" w:lineRule="auto"/>
        <w:jc w:val="both"/>
        <w:rPr>
          <w:rFonts w:ascii="Arial" w:hAnsi="Arial" w:cs="Arial"/>
        </w:rPr>
      </w:pPr>
      <w:r>
        <w:rPr>
          <w:rFonts w:ascii="Arial" w:hAnsi="Arial" w:cs="Arial"/>
        </w:rPr>
        <w:t xml:space="preserve">Adómentesség illeti meg azt a háziorvos, védőnő vállalkozót, akinek a vállalkozási szintű adóalapja az adóévben a 20 millió forintot nem haladja meg. </w:t>
      </w:r>
    </w:p>
    <w:p w:rsidR="00010EBB" w:rsidRPr="00B00CBA" w:rsidRDefault="00010EBB" w:rsidP="00112AA4">
      <w:pPr>
        <w:contextualSpacing/>
        <w:jc w:val="both"/>
        <w:rPr>
          <w:rFonts w:ascii="Arial" w:hAnsi="Arial" w:cs="Arial"/>
        </w:rPr>
      </w:pPr>
    </w:p>
    <w:p w:rsidR="00010EBB" w:rsidRPr="00926BBE" w:rsidRDefault="00010EBB" w:rsidP="00112AA4">
      <w:pPr>
        <w:ind w:firstLine="360"/>
        <w:contextualSpacing/>
        <w:jc w:val="both"/>
        <w:rPr>
          <w:rFonts w:ascii="Arial" w:hAnsi="Arial" w:cs="Arial"/>
          <w:b/>
        </w:rPr>
      </w:pPr>
      <w:r w:rsidRPr="00926BBE">
        <w:rPr>
          <w:rFonts w:ascii="Arial" w:hAnsi="Arial" w:cs="Arial"/>
          <w:b/>
        </w:rPr>
        <w:t>Helyi iparűzési adót/adóelőleget érintő speciális szabályok</w:t>
      </w:r>
    </w:p>
    <w:p w:rsidR="00010EBB" w:rsidRDefault="00010EBB" w:rsidP="00112AA4">
      <w:pPr>
        <w:contextualSpacing/>
        <w:jc w:val="both"/>
        <w:rPr>
          <w:rFonts w:ascii="Arial" w:hAnsi="Arial" w:cs="Arial"/>
        </w:rPr>
      </w:pPr>
    </w:p>
    <w:p w:rsidR="00010EBB" w:rsidRDefault="00010EBB" w:rsidP="00112AA4">
      <w:pPr>
        <w:contextualSpacing/>
        <w:jc w:val="both"/>
        <w:rPr>
          <w:rFonts w:ascii="Arial" w:hAnsi="Arial" w:cs="Arial"/>
        </w:rPr>
      </w:pPr>
      <w:r>
        <w:rPr>
          <w:rFonts w:ascii="Arial" w:hAnsi="Arial" w:cs="Arial"/>
        </w:rPr>
        <w:t>Az iparűzési adó 2021-ben átmeneti jelleggel a felére, 2 % helyett 1 %-</w:t>
      </w:r>
      <w:proofErr w:type="spellStart"/>
      <w:r>
        <w:rPr>
          <w:rFonts w:ascii="Arial" w:hAnsi="Arial" w:cs="Arial"/>
        </w:rPr>
        <w:t>ra</w:t>
      </w:r>
      <w:proofErr w:type="spellEnd"/>
      <w:r>
        <w:rPr>
          <w:rFonts w:ascii="Arial" w:hAnsi="Arial" w:cs="Arial"/>
        </w:rPr>
        <w:t xml:space="preserve"> csökkent, a 4 milliárd forint átbevétel vagy mérlegfőösszeg alatti kis-és középvállalkozások, valamint az egyéni vállalkozások körében. </w:t>
      </w:r>
    </w:p>
    <w:p w:rsidR="00010EBB" w:rsidRDefault="00010EBB" w:rsidP="00112AA4">
      <w:pPr>
        <w:contextualSpacing/>
        <w:jc w:val="both"/>
        <w:rPr>
          <w:rFonts w:ascii="Arial" w:hAnsi="Arial" w:cs="Arial"/>
        </w:rPr>
      </w:pPr>
      <w:r>
        <w:rPr>
          <w:rFonts w:ascii="Arial" w:hAnsi="Arial" w:cs="Arial"/>
        </w:rPr>
        <w:t>Az adózók választhattak, hogy 2021. évben érvényesítik vagy sem az iparűzési adóelőlegfizetésnél a biztosított adóelőnyt, a 2022. május 31-ig benyújtott bevallásokban már ezeknek a vállalkozásoknak jár az 1 %-os mértékkel történő „adófelezés”, ha és amennyiben ezt a bevallásban majd jelölik.</w:t>
      </w:r>
    </w:p>
    <w:p w:rsidR="00010EBB" w:rsidRDefault="00010EBB" w:rsidP="00112AA4">
      <w:pPr>
        <w:contextualSpacing/>
        <w:jc w:val="both"/>
        <w:rPr>
          <w:rFonts w:ascii="Arial" w:hAnsi="Arial" w:cs="Arial"/>
        </w:rPr>
      </w:pPr>
      <w:r>
        <w:rPr>
          <w:rFonts w:ascii="Arial" w:hAnsi="Arial" w:cs="Arial"/>
        </w:rPr>
        <w:t xml:space="preserve">A </w:t>
      </w:r>
      <w:proofErr w:type="spellStart"/>
      <w:r>
        <w:rPr>
          <w:rFonts w:ascii="Arial" w:hAnsi="Arial" w:cs="Arial"/>
        </w:rPr>
        <w:t>mikro</w:t>
      </w:r>
      <w:proofErr w:type="spellEnd"/>
      <w:r>
        <w:rPr>
          <w:rFonts w:ascii="Arial" w:hAnsi="Arial" w:cs="Arial"/>
        </w:rPr>
        <w:t>-, kis- és középvállalkozásnak minősülő vállalkozóknak a 2021. évben, az adott előleg-fizetési időpontban esedékes – a Helyi adótörvény szerint bevallott és a 2021. évben a</w:t>
      </w:r>
      <w:r w:rsidR="00732456">
        <w:rPr>
          <w:rFonts w:ascii="Arial" w:hAnsi="Arial" w:cs="Arial"/>
        </w:rPr>
        <w:t>z</w:t>
      </w:r>
      <w:r>
        <w:rPr>
          <w:rFonts w:ascii="Arial" w:hAnsi="Arial" w:cs="Arial"/>
        </w:rPr>
        <w:t xml:space="preserve"> önkormányzati adórendelet szerinti adómértékkel bevallott – adóelőleg 50 százalékát kellett az esedékességi időpontokban megfizetni, ha erre vonatkozóan nyilatkozatot tettek.</w:t>
      </w:r>
    </w:p>
    <w:p w:rsidR="00010EBB" w:rsidRDefault="00010EBB" w:rsidP="00112AA4">
      <w:pPr>
        <w:contextualSpacing/>
        <w:jc w:val="both"/>
        <w:rPr>
          <w:rFonts w:ascii="Arial" w:hAnsi="Arial" w:cs="Arial"/>
        </w:rPr>
      </w:pPr>
      <w:r>
        <w:rPr>
          <w:rFonts w:ascii="Arial" w:hAnsi="Arial" w:cs="Arial"/>
        </w:rPr>
        <w:t xml:space="preserve">A vállalkozóknak nyilatkozatot kellett tenniük legkésőbb 2021 február 25-ig a székhely, telephely szerinti önkormányzati adóhatóság számára, ha élni kívántak az adó felezés lehetőségével. Az említett nyilatkozat 2021. januárjától kizárólag az állami adó-és vámhatóságon keresztül, elektronikus úton volt benyújtható. A nyilatkozat alapján a meg nem fizetendő előleg-részlet összegével az önkormányzati adóhatóság a vállalkozó iparűzési adóelőleg kötelezettsége összegét hivatalból, határozathozatal nélkül csökkentette. </w:t>
      </w:r>
    </w:p>
    <w:p w:rsidR="00010EBB" w:rsidRPr="00926BBE" w:rsidRDefault="00010EBB" w:rsidP="00112AA4">
      <w:pPr>
        <w:contextualSpacing/>
        <w:jc w:val="both"/>
        <w:rPr>
          <w:rFonts w:ascii="Arial" w:hAnsi="Arial" w:cs="Arial"/>
          <w:b/>
        </w:rPr>
      </w:pPr>
      <w:r w:rsidRPr="00926BBE">
        <w:rPr>
          <w:rFonts w:ascii="Arial" w:hAnsi="Arial" w:cs="Arial"/>
          <w:b/>
        </w:rPr>
        <w:t>2021. évben hivatalunkhoz 776 db nyilatkozat került benyújtásra, feldolgozásra.</w:t>
      </w:r>
    </w:p>
    <w:p w:rsidR="00010EBB" w:rsidRDefault="00010EBB" w:rsidP="00112AA4">
      <w:pPr>
        <w:contextualSpacing/>
        <w:jc w:val="both"/>
        <w:rPr>
          <w:rFonts w:ascii="Arial" w:hAnsi="Arial" w:cs="Arial"/>
        </w:rPr>
      </w:pPr>
    </w:p>
    <w:p w:rsidR="00010EBB" w:rsidRPr="00926BBE" w:rsidRDefault="00010EBB" w:rsidP="00112AA4">
      <w:pPr>
        <w:contextualSpacing/>
        <w:jc w:val="both"/>
        <w:rPr>
          <w:rFonts w:ascii="Arial" w:hAnsi="Arial" w:cs="Arial"/>
          <w:b/>
        </w:rPr>
      </w:pPr>
      <w:r>
        <w:rPr>
          <w:rFonts w:ascii="Arial" w:hAnsi="Arial" w:cs="Arial"/>
        </w:rPr>
        <w:t xml:space="preserve">A koronavírus miatti veszélyhelyzet okozta visszaesés miatt előlegcsökkenést is kérhettek a vállalkozások. Az adózó az iparűzési adóelőleg esedékességének időpontjáig benyújtott kérelmében az általa bevallott helyi iparűzési adóelőleg módosítását kérheti az adóhatóságtól, ha előlegét az előző időszak adatai alapján fizeti és számításai szerint adója nem éri el az előző időszak adatai alapján fizetendő adóelőleg összegét. </w:t>
      </w:r>
      <w:r w:rsidRPr="00926BBE">
        <w:rPr>
          <w:rFonts w:ascii="Arial" w:hAnsi="Arial" w:cs="Arial"/>
          <w:b/>
        </w:rPr>
        <w:t xml:space="preserve">2021. évre </w:t>
      </w:r>
      <w:r>
        <w:rPr>
          <w:rFonts w:ascii="Arial" w:hAnsi="Arial" w:cs="Arial"/>
          <w:b/>
        </w:rPr>
        <w:t>45,2</w:t>
      </w:r>
      <w:r w:rsidRPr="00926BBE">
        <w:rPr>
          <w:rFonts w:ascii="Arial" w:hAnsi="Arial" w:cs="Arial"/>
          <w:b/>
        </w:rPr>
        <w:t xml:space="preserve"> millió forint előlegcsökkenést kértek és kaptak a hévízi vállalkozások. </w:t>
      </w:r>
    </w:p>
    <w:p w:rsidR="00010EBB" w:rsidRDefault="00010EBB" w:rsidP="00112AA4">
      <w:pPr>
        <w:contextualSpacing/>
        <w:jc w:val="both"/>
        <w:rPr>
          <w:rFonts w:ascii="Arial" w:hAnsi="Arial" w:cs="Arial"/>
        </w:rPr>
      </w:pPr>
      <w:r>
        <w:rPr>
          <w:rFonts w:ascii="Arial" w:hAnsi="Arial" w:cs="Arial"/>
        </w:rPr>
        <w:t xml:space="preserve">  </w:t>
      </w:r>
    </w:p>
    <w:p w:rsidR="00010EBB" w:rsidRPr="00C812E8" w:rsidRDefault="00010EBB" w:rsidP="00112AA4">
      <w:pPr>
        <w:contextualSpacing/>
        <w:jc w:val="both"/>
        <w:rPr>
          <w:rFonts w:ascii="Arial" w:hAnsi="Arial" w:cs="Arial"/>
        </w:rPr>
      </w:pPr>
      <w:r w:rsidRPr="00C812E8">
        <w:rPr>
          <w:rFonts w:ascii="Arial" w:hAnsi="Arial" w:cs="Arial"/>
        </w:rPr>
        <w:t>Az iparűzési adófizetés sajátossága, hogy az adózók éves bevallás során számolnak el az előző évben március</w:t>
      </w:r>
      <w:r>
        <w:rPr>
          <w:rFonts w:ascii="Arial" w:hAnsi="Arial" w:cs="Arial"/>
        </w:rPr>
        <w:t xml:space="preserve"> 15.</w:t>
      </w:r>
      <w:r w:rsidRPr="00C812E8">
        <w:rPr>
          <w:rFonts w:ascii="Arial" w:hAnsi="Arial" w:cs="Arial"/>
        </w:rPr>
        <w:t xml:space="preserve"> és szeptember 15., befizetett előleggel szemben. Az előző évről szóló bevallást a következő év május 31. napjáig kell benyújtani és a befizetett adóelőleg és a tényleges adó különbözetét megfizetni.</w:t>
      </w:r>
    </w:p>
    <w:p w:rsidR="00010EBB" w:rsidRPr="00C812E8" w:rsidRDefault="00010EBB" w:rsidP="00112AA4">
      <w:pPr>
        <w:contextualSpacing/>
        <w:jc w:val="both"/>
        <w:rPr>
          <w:rFonts w:ascii="Arial" w:hAnsi="Arial" w:cs="Arial"/>
        </w:rPr>
      </w:pPr>
    </w:p>
    <w:p w:rsidR="00312F56" w:rsidRDefault="00312F56" w:rsidP="00312F56">
      <w:pPr>
        <w:jc w:val="both"/>
        <w:rPr>
          <w:rFonts w:ascii="Arial" w:hAnsi="Arial" w:cs="Arial"/>
        </w:rPr>
      </w:pPr>
      <w:r>
        <w:rPr>
          <w:rFonts w:ascii="Arial" w:hAnsi="Arial" w:cs="Arial"/>
        </w:rPr>
        <w:t>Az adózói nyilvántartásban 1314 cég és 939 egyéni vállalkozó szerepel. A 2020. évről beérkezett bevallások száma 1018 db, hiányzó bevallások száma 79 db. Az adózói törzsben azokat az adózók is szerepelnek, amelyek már megszűntek, felszámolás vagy kényszertörlés alatt vannak, és akiket nem terhel bevallási kötelezettség. (KATA adózók)</w:t>
      </w:r>
    </w:p>
    <w:p w:rsidR="00726C57" w:rsidRDefault="00726C57" w:rsidP="00112AA4">
      <w:pPr>
        <w:contextualSpacing/>
        <w:jc w:val="both"/>
        <w:rPr>
          <w:rFonts w:ascii="Arial" w:hAnsi="Arial" w:cs="Arial"/>
        </w:rPr>
      </w:pPr>
    </w:p>
    <w:p w:rsidR="00010EBB" w:rsidRPr="00C812E8" w:rsidRDefault="00010EBB" w:rsidP="00112AA4">
      <w:pPr>
        <w:contextualSpacing/>
        <w:jc w:val="both"/>
        <w:rPr>
          <w:rFonts w:ascii="Arial" w:hAnsi="Arial" w:cs="Arial"/>
        </w:rPr>
      </w:pPr>
      <w:r w:rsidRPr="00C812E8">
        <w:rPr>
          <w:rFonts w:ascii="Arial" w:hAnsi="Arial" w:cs="Arial"/>
        </w:rPr>
        <w:t xml:space="preserve">Évről évre </w:t>
      </w:r>
      <w:r w:rsidRPr="00C812E8">
        <w:rPr>
          <w:rFonts w:ascii="Arial" w:hAnsi="Arial" w:cs="Arial"/>
          <w:b/>
        </w:rPr>
        <w:t>növekszik a kisadózó vállalkozások tételes adóalany (KATA)</w:t>
      </w:r>
      <w:r w:rsidRPr="00C812E8">
        <w:rPr>
          <w:rFonts w:ascii="Arial" w:hAnsi="Arial" w:cs="Arial"/>
        </w:rPr>
        <w:t xml:space="preserve"> szerinti adózó vállalkozások száma</w:t>
      </w:r>
      <w:r w:rsidRPr="005E56AC">
        <w:rPr>
          <w:rFonts w:ascii="Arial" w:hAnsi="Arial" w:cs="Arial"/>
          <w:b/>
        </w:rPr>
        <w:t>. 2021. évben 300 KATA-s vállalkozásunk</w:t>
      </w:r>
      <w:r w:rsidRPr="00C812E8">
        <w:rPr>
          <w:rFonts w:ascii="Arial" w:hAnsi="Arial" w:cs="Arial"/>
        </w:rPr>
        <w:t xml:space="preserve"> volt. Őket éves bevallási kötelezettség nem terheli, az éves tételes adójukat (</w:t>
      </w:r>
      <w:r>
        <w:rPr>
          <w:rFonts w:ascii="Arial" w:hAnsi="Arial" w:cs="Arial"/>
        </w:rPr>
        <w:t>25.000,-Ft</w:t>
      </w:r>
      <w:r w:rsidRPr="00C812E8">
        <w:rPr>
          <w:rFonts w:ascii="Arial" w:hAnsi="Arial" w:cs="Arial"/>
        </w:rPr>
        <w:t xml:space="preserve">) két részletben fizethetik meg. </w:t>
      </w:r>
    </w:p>
    <w:p w:rsidR="00010EBB" w:rsidRPr="00C812E8" w:rsidRDefault="00010EBB" w:rsidP="00112AA4">
      <w:pPr>
        <w:contextualSpacing/>
        <w:jc w:val="both"/>
        <w:rPr>
          <w:rFonts w:ascii="Arial" w:hAnsi="Arial" w:cs="Arial"/>
        </w:rPr>
      </w:pPr>
      <w:r>
        <w:rPr>
          <w:rFonts w:ascii="Arial" w:hAnsi="Arial" w:cs="Arial"/>
          <w:b/>
        </w:rPr>
        <w:t xml:space="preserve"> </w:t>
      </w:r>
    </w:p>
    <w:p w:rsidR="00010EBB" w:rsidRPr="00C812E8" w:rsidRDefault="00010EBB" w:rsidP="00112AA4">
      <w:pPr>
        <w:contextualSpacing/>
        <w:jc w:val="both"/>
        <w:rPr>
          <w:rFonts w:ascii="Arial" w:hAnsi="Arial" w:cs="Arial"/>
        </w:rPr>
      </w:pPr>
      <w:r w:rsidRPr="00C812E8">
        <w:rPr>
          <w:rFonts w:ascii="Arial" w:hAnsi="Arial" w:cs="Arial"/>
        </w:rPr>
        <w:t xml:space="preserve">2019. július 1-jétől a </w:t>
      </w:r>
      <w:proofErr w:type="spellStart"/>
      <w:r w:rsidRPr="00C812E8">
        <w:rPr>
          <w:rFonts w:ascii="Arial" w:hAnsi="Arial" w:cs="Arial"/>
        </w:rPr>
        <w:t>Htv</w:t>
      </w:r>
      <w:proofErr w:type="spellEnd"/>
      <w:r w:rsidRPr="00C812E8">
        <w:rPr>
          <w:rFonts w:ascii="Arial" w:hAnsi="Arial" w:cs="Arial"/>
        </w:rPr>
        <w:t xml:space="preserve">. 42/E §-a módosult azzal, hogy az állami adóhatóság havonta kétszer valamennyi a cégbíróságtól, bíróságtól, az egyéni vállalkozók nyilvántartásától érkezett, valamint </w:t>
      </w:r>
      <w:r w:rsidRPr="00C812E8">
        <w:rPr>
          <w:rFonts w:ascii="Arial" w:hAnsi="Arial" w:cs="Arial"/>
        </w:rPr>
        <w:lastRenderedPageBreak/>
        <w:t xml:space="preserve">az állami adóhatósághoz közvetlenül bejelentkező adóköteles tevékenységet végző adózó bejelentéseinek és változás-bejelentéseinek adatait továbbítja az adózó székhelye szerinti önkormányzat irányába, </w:t>
      </w:r>
      <w:r w:rsidRPr="005E56AC">
        <w:rPr>
          <w:rFonts w:ascii="Arial" w:hAnsi="Arial" w:cs="Arial"/>
        </w:rPr>
        <w:t>2020. január 1-jétől</w:t>
      </w:r>
      <w:r w:rsidRPr="00C812E8">
        <w:rPr>
          <w:rFonts w:ascii="Arial" w:hAnsi="Arial" w:cs="Arial"/>
        </w:rPr>
        <w:t xml:space="preserve"> pedig már az állami </w:t>
      </w:r>
      <w:r>
        <w:rPr>
          <w:rFonts w:ascii="Arial" w:hAnsi="Arial" w:cs="Arial"/>
        </w:rPr>
        <w:t>a</w:t>
      </w:r>
      <w:r w:rsidRPr="00C812E8">
        <w:rPr>
          <w:rFonts w:ascii="Arial" w:hAnsi="Arial" w:cs="Arial"/>
        </w:rPr>
        <w:t xml:space="preserve">dóhatóság felé lejelentett telephely szerinti önkormányzat felé is megküldi a bejelentkezéseket és változás-bejelentéseket. </w:t>
      </w:r>
    </w:p>
    <w:p w:rsidR="00010EBB" w:rsidRPr="00C812E8" w:rsidRDefault="00010EBB" w:rsidP="00112AA4">
      <w:pPr>
        <w:contextualSpacing/>
        <w:jc w:val="both"/>
        <w:rPr>
          <w:rFonts w:ascii="Arial" w:hAnsi="Arial" w:cs="Arial"/>
        </w:rPr>
      </w:pPr>
      <w:r w:rsidRPr="005E627A">
        <w:rPr>
          <w:rFonts w:ascii="Arial" w:hAnsi="Arial" w:cs="Arial"/>
        </w:rPr>
        <w:t>2021. január 1-jétől december 31-ig</w:t>
      </w:r>
      <w:r w:rsidRPr="00C812E8">
        <w:rPr>
          <w:rFonts w:ascii="Arial" w:hAnsi="Arial" w:cs="Arial"/>
          <w:b/>
        </w:rPr>
        <w:t xml:space="preserve"> </w:t>
      </w:r>
      <w:r>
        <w:rPr>
          <w:rFonts w:ascii="Arial" w:hAnsi="Arial" w:cs="Arial"/>
          <w:b/>
        </w:rPr>
        <w:t>3036</w:t>
      </w:r>
      <w:r w:rsidRPr="00C812E8">
        <w:rPr>
          <w:rFonts w:ascii="Arial" w:hAnsi="Arial" w:cs="Arial"/>
          <w:b/>
        </w:rPr>
        <w:t xml:space="preserve"> darab </w:t>
      </w:r>
      <w:r>
        <w:rPr>
          <w:rFonts w:ascii="Arial" w:hAnsi="Arial" w:cs="Arial"/>
          <w:b/>
        </w:rPr>
        <w:t>adatváltozást</w:t>
      </w:r>
      <w:r w:rsidRPr="00C812E8">
        <w:rPr>
          <w:rFonts w:ascii="Arial" w:hAnsi="Arial" w:cs="Arial"/>
          <w:b/>
        </w:rPr>
        <w:t xml:space="preserve"> küldött át a NAV</w:t>
      </w:r>
      <w:r w:rsidRPr="00C812E8">
        <w:rPr>
          <w:rFonts w:ascii="Arial" w:hAnsi="Arial" w:cs="Arial"/>
        </w:rPr>
        <w:t xml:space="preserve">. Ezen bejelentések nagy része iparűzési adó tekintetében nem eredményez változást, de iktatása és feldolgozása hatalmas többletmunkát jelent. </w:t>
      </w:r>
    </w:p>
    <w:p w:rsidR="00010EBB" w:rsidRPr="00C812E8" w:rsidRDefault="00010EBB" w:rsidP="00112AA4">
      <w:pPr>
        <w:contextualSpacing/>
        <w:jc w:val="both"/>
        <w:rPr>
          <w:rFonts w:ascii="Arial" w:hAnsi="Arial" w:cs="Arial"/>
        </w:rPr>
      </w:pPr>
    </w:p>
    <w:p w:rsidR="00010EBB" w:rsidRDefault="00010EBB" w:rsidP="00112AA4">
      <w:pPr>
        <w:contextualSpacing/>
        <w:jc w:val="both"/>
        <w:rPr>
          <w:rFonts w:ascii="Arial" w:hAnsi="Arial" w:cs="Arial"/>
        </w:rPr>
      </w:pPr>
      <w:r>
        <w:rPr>
          <w:rFonts w:ascii="Arial" w:hAnsi="Arial" w:cs="Arial"/>
        </w:rPr>
        <w:t>Ez az adónem a legnehezebben</w:t>
      </w:r>
      <w:r w:rsidRPr="00C812E8">
        <w:rPr>
          <w:rFonts w:ascii="Arial" w:hAnsi="Arial" w:cs="Arial"/>
        </w:rPr>
        <w:t xml:space="preserve"> tervezhető </w:t>
      </w:r>
      <w:r>
        <w:rPr>
          <w:rFonts w:ascii="Arial" w:hAnsi="Arial" w:cs="Arial"/>
        </w:rPr>
        <w:t xml:space="preserve">adóbevétel. Jelen ismereteink szerint a tervezett bevételre várhatóan hatással lesznek a járványhelyzet gazdaságra gyakorolt hatásai és az esetleges további központi kormányzati intézkedések. </w:t>
      </w:r>
    </w:p>
    <w:p w:rsidR="00010EBB" w:rsidRPr="00C812E8" w:rsidRDefault="00010EBB" w:rsidP="00112AA4">
      <w:pPr>
        <w:contextualSpacing/>
        <w:jc w:val="both"/>
        <w:rPr>
          <w:rFonts w:ascii="Arial" w:hAnsi="Arial" w:cs="Arial"/>
        </w:rPr>
      </w:pPr>
      <w:r>
        <w:rPr>
          <w:rFonts w:ascii="Arial" w:hAnsi="Arial" w:cs="Arial"/>
        </w:rPr>
        <w:t xml:space="preserve">Továbbra is bízunk benne, hogy a városunkban működő vállalkozások talpon maradnak, növekednek, javul likviditásuk, illetve bővülhet a számuk.  </w:t>
      </w:r>
    </w:p>
    <w:p w:rsidR="00010EBB" w:rsidRPr="00C812E8" w:rsidRDefault="00010EBB" w:rsidP="00010EBB">
      <w:pPr>
        <w:spacing w:after="0" w:line="240" w:lineRule="auto"/>
        <w:jc w:val="both"/>
        <w:rPr>
          <w:rFonts w:ascii="Arial" w:hAnsi="Arial" w:cs="Arial"/>
        </w:rPr>
      </w:pPr>
      <w:r>
        <w:rPr>
          <w:rFonts w:ascii="Arial" w:hAnsi="Arial" w:cs="Arial"/>
        </w:rPr>
        <w:t xml:space="preserve"> </w:t>
      </w:r>
    </w:p>
    <w:p w:rsidR="00010EBB" w:rsidRPr="00C812E8" w:rsidRDefault="00010EBB" w:rsidP="00010EBB">
      <w:pPr>
        <w:spacing w:after="0" w:line="240" w:lineRule="auto"/>
        <w:jc w:val="both"/>
        <w:rPr>
          <w:rFonts w:ascii="Arial" w:hAnsi="Arial" w:cs="Arial"/>
          <w:sz w:val="24"/>
          <w:szCs w:val="24"/>
        </w:rPr>
      </w:pPr>
    </w:p>
    <w:p w:rsidR="00010EBB" w:rsidRDefault="00010EBB" w:rsidP="00010EBB">
      <w:pPr>
        <w:spacing w:after="0" w:line="240" w:lineRule="auto"/>
        <w:jc w:val="center"/>
        <w:rPr>
          <w:rFonts w:ascii="Arial" w:hAnsi="Arial" w:cs="Arial"/>
          <w:sz w:val="24"/>
          <w:szCs w:val="24"/>
        </w:rPr>
      </w:pPr>
      <w:r w:rsidRPr="00C812E8">
        <w:rPr>
          <w:rFonts w:ascii="Arial" w:hAnsi="Arial" w:cs="Arial"/>
          <w:noProof/>
          <w:sz w:val="24"/>
          <w:szCs w:val="24"/>
        </w:rPr>
        <w:drawing>
          <wp:inline distT="0" distB="0" distL="0" distR="0" wp14:anchorId="2D9E9F5E" wp14:editId="39549B29">
            <wp:extent cx="5086350" cy="3571875"/>
            <wp:effectExtent l="0" t="0" r="0" b="9525"/>
            <wp:docPr id="8" name="Diagram 8">
              <a:extLst xmlns:a="http://schemas.openxmlformats.org/drawingml/2006/main">
                <a:ext uri="{FF2B5EF4-FFF2-40B4-BE49-F238E27FC236}">
                  <a16:creationId xmlns:a16="http://schemas.microsoft.com/office/drawing/2014/main" id="{576C34C3-C49D-4418-A769-D29F717BDB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A5F13" w:rsidRPr="00C812E8" w:rsidRDefault="001A5F13" w:rsidP="00010EBB">
      <w:pPr>
        <w:spacing w:after="0" w:line="240" w:lineRule="auto"/>
        <w:jc w:val="center"/>
        <w:rPr>
          <w:rFonts w:ascii="Arial" w:hAnsi="Arial" w:cs="Arial"/>
          <w:sz w:val="24"/>
          <w:szCs w:val="24"/>
        </w:rPr>
      </w:pPr>
    </w:p>
    <w:p w:rsidR="00010EBB" w:rsidRPr="00C812E8" w:rsidRDefault="001A5F13" w:rsidP="00010EBB">
      <w:pPr>
        <w:spacing w:after="0" w:line="240" w:lineRule="auto"/>
        <w:jc w:val="center"/>
        <w:rPr>
          <w:rFonts w:ascii="Arial" w:hAnsi="Arial" w:cs="Arial"/>
          <w:sz w:val="24"/>
          <w:szCs w:val="24"/>
        </w:rPr>
      </w:pPr>
      <w:r w:rsidRPr="00C812E8">
        <w:rPr>
          <w:rFonts w:ascii="Arial" w:hAnsi="Arial" w:cs="Arial"/>
          <w:noProof/>
          <w:sz w:val="24"/>
          <w:szCs w:val="24"/>
        </w:rPr>
        <w:lastRenderedPageBreak/>
        <w:drawing>
          <wp:inline distT="0" distB="0" distL="0" distR="0" wp14:anchorId="088F5B7E" wp14:editId="7EB59902">
            <wp:extent cx="5629275" cy="3514725"/>
            <wp:effectExtent l="0" t="0" r="9525" b="9525"/>
            <wp:docPr id="5" name="Diagram 5">
              <a:extLst xmlns:a="http://schemas.openxmlformats.org/drawingml/2006/main">
                <a:ext uri="{FF2B5EF4-FFF2-40B4-BE49-F238E27FC236}">
                  <a16:creationId xmlns:a16="http://schemas.microsoft.com/office/drawing/2014/main" id="{D2B85C48-997B-47AC-A1A8-AC072956B3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0EBB" w:rsidRDefault="00010EBB" w:rsidP="00010EBB">
      <w:pPr>
        <w:spacing w:after="0" w:line="240" w:lineRule="auto"/>
        <w:jc w:val="center"/>
        <w:rPr>
          <w:rFonts w:ascii="Arial" w:hAnsi="Arial" w:cs="Arial"/>
          <w:sz w:val="24"/>
          <w:szCs w:val="24"/>
        </w:rPr>
      </w:pPr>
    </w:p>
    <w:p w:rsidR="00010EBB" w:rsidRDefault="00010EBB" w:rsidP="00010EBB">
      <w:pPr>
        <w:spacing w:after="0" w:line="240" w:lineRule="auto"/>
        <w:jc w:val="center"/>
        <w:rPr>
          <w:rFonts w:ascii="Arial" w:hAnsi="Arial" w:cs="Arial"/>
          <w:sz w:val="24"/>
          <w:szCs w:val="24"/>
        </w:rPr>
      </w:pPr>
    </w:p>
    <w:p w:rsidR="0006724C" w:rsidRPr="00112AA4" w:rsidRDefault="00112AA4" w:rsidP="00112AA4">
      <w:pPr>
        <w:pStyle w:val="Listaszerbekezds"/>
        <w:numPr>
          <w:ilvl w:val="1"/>
          <w:numId w:val="1"/>
        </w:numPr>
        <w:jc w:val="both"/>
        <w:rPr>
          <w:rFonts w:ascii="Arial" w:hAnsi="Arial" w:cs="Arial"/>
          <w:b/>
        </w:rPr>
      </w:pPr>
      <w:r w:rsidRPr="00112AA4">
        <w:rPr>
          <w:rFonts w:ascii="Arial" w:hAnsi="Arial" w:cs="Arial"/>
          <w:b/>
        </w:rPr>
        <w:t xml:space="preserve"> </w:t>
      </w:r>
      <w:r w:rsidR="0006724C" w:rsidRPr="00112AA4">
        <w:rPr>
          <w:rFonts w:ascii="Arial" w:hAnsi="Arial" w:cs="Arial"/>
          <w:b/>
        </w:rPr>
        <w:t>Idegenforgalmi adó</w:t>
      </w:r>
    </w:p>
    <w:p w:rsidR="0006724C" w:rsidRPr="00726C57" w:rsidRDefault="0006724C" w:rsidP="00112AA4">
      <w:pPr>
        <w:spacing w:afterLines="200" w:after="480"/>
        <w:contextualSpacing/>
        <w:jc w:val="both"/>
        <w:rPr>
          <w:rFonts w:ascii="Arial" w:hAnsi="Arial" w:cs="Arial"/>
          <w:b/>
        </w:rPr>
      </w:pPr>
      <w:r w:rsidRPr="0006724C">
        <w:rPr>
          <w:rFonts w:ascii="Arial" w:hAnsi="Arial" w:cs="Arial"/>
        </w:rPr>
        <w:t xml:space="preserve">A helyi adókról szóló 1990. évi C. törvény értelmében idegenforgalmi adó kötelezettség terheli azt a magánszemélyt, aki az önkormányzat illetékességi területén legalább egy vendégéjszakát eltölt, az adó mértéke 2020. évvel megegyezően 2021. évben is </w:t>
      </w:r>
      <w:r w:rsidRPr="00726C57">
        <w:rPr>
          <w:rFonts w:ascii="Arial" w:hAnsi="Arial" w:cs="Arial"/>
          <w:b/>
        </w:rPr>
        <w:t>530 Ft/fő/vendégéjszaka.</w:t>
      </w:r>
    </w:p>
    <w:p w:rsidR="0006724C" w:rsidRPr="0006724C" w:rsidRDefault="0006724C" w:rsidP="00112AA4">
      <w:pPr>
        <w:spacing w:afterLines="200" w:after="480"/>
        <w:contextualSpacing/>
        <w:jc w:val="both"/>
        <w:rPr>
          <w:rFonts w:ascii="Arial" w:hAnsi="Arial" w:cs="Arial"/>
        </w:rPr>
      </w:pPr>
    </w:p>
    <w:p w:rsidR="0006724C" w:rsidRPr="0006724C" w:rsidRDefault="0006724C" w:rsidP="00112AA4">
      <w:pPr>
        <w:spacing w:afterLines="200" w:after="480"/>
        <w:contextualSpacing/>
        <w:jc w:val="both"/>
        <w:rPr>
          <w:rFonts w:ascii="Arial" w:hAnsi="Arial" w:cs="Arial"/>
        </w:rPr>
      </w:pPr>
      <w:r w:rsidRPr="0006724C">
        <w:rPr>
          <w:rFonts w:ascii="Arial" w:hAnsi="Arial" w:cs="Arial"/>
        </w:rPr>
        <w:t>A 319/2021. (VI. 9.) Korm. rendelet értelmében nem kellett az idegenforgalmi adót megfizetni a 2021. január 1. és 2021. június 30. közötti időszakban eltöltött vendégéjszakák után. Ettől függetlenül az adóbeszedésre kötelezettnek az adót be kell vallania, kivéve, ha az idegenforgalmi adó összege nulla.</w:t>
      </w:r>
    </w:p>
    <w:p w:rsidR="0006724C" w:rsidRPr="0006724C" w:rsidRDefault="0006724C" w:rsidP="00112AA4">
      <w:pPr>
        <w:spacing w:afterLines="200" w:after="480"/>
        <w:contextualSpacing/>
        <w:jc w:val="both"/>
        <w:rPr>
          <w:rFonts w:ascii="Arial" w:eastAsia="Times New Roman" w:hAnsi="Arial" w:cs="Arial"/>
          <w:lang w:eastAsia="hu-HU"/>
        </w:rPr>
      </w:pPr>
      <w:r w:rsidRPr="0006724C">
        <w:rPr>
          <w:rFonts w:ascii="Arial" w:hAnsi="Arial" w:cs="Arial"/>
        </w:rPr>
        <w:t xml:space="preserve">A koronavírus járvány 2021-ben is nagymértékben befolyásolta az adónemben realizálható bevételt. Az év első felében nem kellett a vendégeknek idegenforgalmi adót fizetni, azonban - a 2020. április 26-tól december 31-ig terjedő időszakkal ellentétben - támogatást sem igényelhettünk erre az időszakra az eltöltött vendégéjszakák után. 2020. novembertől 2021. áprilisig csak üzleti céllal lehetett vendéget fogadni, ezért a szállodák többnyire zárva tartottak, és csak július, augusztus hónapban nyitottak újra, amikor már turistákat is fogadhattak. </w:t>
      </w:r>
    </w:p>
    <w:p w:rsidR="0006724C" w:rsidRPr="0006724C" w:rsidRDefault="0006724C" w:rsidP="00112AA4">
      <w:pPr>
        <w:spacing w:afterLines="200" w:after="480"/>
        <w:contextualSpacing/>
        <w:jc w:val="both"/>
        <w:rPr>
          <w:rFonts w:ascii="Arial" w:hAnsi="Arial" w:cs="Arial"/>
        </w:rPr>
      </w:pPr>
      <w:r w:rsidRPr="0006724C">
        <w:rPr>
          <w:rFonts w:ascii="Arial" w:hAnsi="Arial" w:cs="Arial"/>
        </w:rPr>
        <w:t xml:space="preserve">A táblázatok 2020. évre vonatkozóan a támogatásokat és a befizetéseket együttesen tartalmazzák. </w:t>
      </w:r>
    </w:p>
    <w:p w:rsidR="0006724C" w:rsidRPr="0006724C" w:rsidRDefault="00112AA4" w:rsidP="0006724C">
      <w:pPr>
        <w:jc w:val="both"/>
      </w:pPr>
      <w:r w:rsidRPr="0006724C">
        <w:rPr>
          <w:rFonts w:ascii="Arial" w:hAnsi="Arial" w:cs="Arial"/>
          <w:noProof/>
          <w:sz w:val="24"/>
          <w:szCs w:val="24"/>
        </w:rPr>
        <w:drawing>
          <wp:anchor distT="0" distB="0" distL="114300" distR="114300" simplePos="0" relativeHeight="251659264" behindDoc="0" locked="0" layoutInCell="1" allowOverlap="1" wp14:anchorId="19373077">
            <wp:simplePos x="0" y="0"/>
            <wp:positionH relativeFrom="column">
              <wp:posOffset>86995</wp:posOffset>
            </wp:positionH>
            <wp:positionV relativeFrom="paragraph">
              <wp:posOffset>979365</wp:posOffset>
            </wp:positionV>
            <wp:extent cx="5922010" cy="990600"/>
            <wp:effectExtent l="0" t="0" r="2540" b="0"/>
            <wp:wrapThrough wrapText="bothSides">
              <wp:wrapPolygon edited="0">
                <wp:start x="0" y="0"/>
                <wp:lineTo x="0" y="21185"/>
                <wp:lineTo x="21540" y="21185"/>
                <wp:lineTo x="21540" y="0"/>
                <wp:lineTo x="0" y="0"/>
              </wp:wrapPolygon>
            </wp:wrapThrough>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201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11760" w:type="dxa"/>
        <w:tblCellMar>
          <w:left w:w="70" w:type="dxa"/>
          <w:right w:w="70" w:type="dxa"/>
        </w:tblCellMar>
        <w:tblLook w:val="04A0" w:firstRow="1" w:lastRow="0" w:firstColumn="1" w:lastColumn="0" w:noHBand="0" w:noVBand="1"/>
      </w:tblPr>
      <w:tblGrid>
        <w:gridCol w:w="11760"/>
      </w:tblGrid>
      <w:tr w:rsidR="0006724C" w:rsidRPr="0006724C" w:rsidTr="00732456">
        <w:trPr>
          <w:trHeight w:val="255"/>
        </w:trPr>
        <w:tc>
          <w:tcPr>
            <w:tcW w:w="11760" w:type="dxa"/>
            <w:tcBorders>
              <w:top w:val="nil"/>
              <w:left w:val="nil"/>
              <w:bottom w:val="nil"/>
              <w:right w:val="nil"/>
            </w:tcBorders>
            <w:shd w:val="clear" w:color="auto" w:fill="auto"/>
            <w:noWrap/>
            <w:vAlign w:val="bottom"/>
            <w:hideMark/>
          </w:tcPr>
          <w:p w:rsidR="0006724C" w:rsidRPr="0006724C" w:rsidRDefault="0006724C" w:rsidP="0006724C">
            <w:pPr>
              <w:spacing w:after="0" w:line="240" w:lineRule="auto"/>
              <w:jc w:val="both"/>
              <w:rPr>
                <w:rFonts w:ascii="Arial" w:eastAsia="Times New Roman" w:hAnsi="Arial" w:cs="Arial"/>
                <w:b/>
                <w:bCs/>
                <w:lang w:eastAsia="hu-HU"/>
              </w:rPr>
            </w:pPr>
            <w:r w:rsidRPr="0006724C">
              <w:rPr>
                <w:rFonts w:ascii="Arial" w:eastAsia="Times New Roman" w:hAnsi="Arial" w:cs="Arial"/>
                <w:b/>
                <w:bCs/>
                <w:lang w:eastAsia="hu-HU"/>
              </w:rPr>
              <w:t xml:space="preserve">                   Befizetett és bevallott idegenforgalmi adó havi megoszlása</w:t>
            </w:r>
            <w:r w:rsidRPr="0006724C">
              <w:rPr>
                <w:rFonts w:ascii="Arial" w:eastAsia="Times New Roman" w:hAnsi="Arial" w:cs="Arial"/>
                <w:b/>
                <w:bCs/>
                <w:color w:val="FF0000"/>
                <w:lang w:eastAsia="hu-HU"/>
              </w:rPr>
              <w:t xml:space="preserve"> </w:t>
            </w:r>
            <w:r w:rsidRPr="0006724C">
              <w:rPr>
                <w:rFonts w:ascii="Arial" w:eastAsia="Times New Roman" w:hAnsi="Arial" w:cs="Arial"/>
                <w:b/>
                <w:bCs/>
                <w:lang w:eastAsia="hu-HU"/>
              </w:rPr>
              <w:t>támogatással</w:t>
            </w:r>
          </w:p>
        </w:tc>
      </w:tr>
      <w:tr w:rsidR="0006724C" w:rsidRPr="0006724C" w:rsidTr="00732456">
        <w:trPr>
          <w:trHeight w:val="255"/>
        </w:trPr>
        <w:tc>
          <w:tcPr>
            <w:tcW w:w="11760" w:type="dxa"/>
            <w:tcBorders>
              <w:top w:val="nil"/>
              <w:left w:val="nil"/>
              <w:bottom w:val="nil"/>
              <w:right w:val="nil"/>
            </w:tcBorders>
            <w:shd w:val="clear" w:color="auto" w:fill="auto"/>
            <w:noWrap/>
            <w:vAlign w:val="bottom"/>
            <w:hideMark/>
          </w:tcPr>
          <w:p w:rsidR="0006724C" w:rsidRPr="0006724C" w:rsidRDefault="0006724C" w:rsidP="0006724C">
            <w:pPr>
              <w:spacing w:after="0" w:line="240" w:lineRule="auto"/>
              <w:jc w:val="both"/>
              <w:rPr>
                <w:rFonts w:ascii="Arial" w:eastAsia="Times New Roman" w:hAnsi="Arial" w:cs="Arial"/>
                <w:b/>
                <w:bCs/>
                <w:lang w:eastAsia="hu-HU"/>
              </w:rPr>
            </w:pPr>
            <w:r w:rsidRPr="0006724C">
              <w:rPr>
                <w:rFonts w:ascii="Arial" w:eastAsia="Times New Roman" w:hAnsi="Arial" w:cs="Arial"/>
                <w:b/>
                <w:bCs/>
                <w:lang w:eastAsia="hu-HU"/>
              </w:rPr>
              <w:t xml:space="preserve">                                                              2017-2021. években</w:t>
            </w:r>
          </w:p>
          <w:p w:rsidR="0006724C" w:rsidRPr="0042251B" w:rsidRDefault="00726C57" w:rsidP="0006724C">
            <w:pPr>
              <w:spacing w:after="0" w:line="240" w:lineRule="auto"/>
              <w:jc w:val="both"/>
              <w:rPr>
                <w:rFonts w:ascii="Arial" w:eastAsia="Times New Roman" w:hAnsi="Arial" w:cs="Arial"/>
                <w:bCs/>
                <w:lang w:eastAsia="hu-HU"/>
              </w:rPr>
            </w:pPr>
            <w:r w:rsidRPr="0042251B">
              <w:rPr>
                <w:rFonts w:ascii="Arial" w:eastAsia="Times New Roman" w:hAnsi="Arial" w:cs="Arial"/>
                <w:bCs/>
                <w:lang w:eastAsia="hu-HU"/>
              </w:rPr>
              <w:t>Idegenforgalmi adó bevétel (ezer Ft)</w:t>
            </w:r>
          </w:p>
          <w:p w:rsidR="00112AA4" w:rsidRPr="0006724C" w:rsidRDefault="00112AA4" w:rsidP="0006724C">
            <w:pPr>
              <w:spacing w:after="0" w:line="240" w:lineRule="auto"/>
              <w:jc w:val="both"/>
              <w:rPr>
                <w:rFonts w:ascii="Arial" w:eastAsia="Times New Roman" w:hAnsi="Arial" w:cs="Arial"/>
                <w:b/>
                <w:bCs/>
                <w:lang w:eastAsia="hu-HU"/>
              </w:rPr>
            </w:pPr>
          </w:p>
          <w:p w:rsidR="0006724C" w:rsidRPr="0006724C" w:rsidRDefault="0006724C" w:rsidP="0006724C">
            <w:pPr>
              <w:spacing w:after="0" w:line="240" w:lineRule="auto"/>
              <w:jc w:val="both"/>
              <w:rPr>
                <w:rFonts w:ascii="Arial" w:eastAsia="Times New Roman" w:hAnsi="Arial" w:cs="Arial"/>
                <w:b/>
                <w:bCs/>
                <w:lang w:eastAsia="hu-HU"/>
              </w:rPr>
            </w:pPr>
          </w:p>
        </w:tc>
      </w:tr>
    </w:tbl>
    <w:p w:rsidR="0006724C" w:rsidRDefault="0006724C" w:rsidP="0006724C">
      <w:pPr>
        <w:jc w:val="both"/>
        <w:rPr>
          <w:rFonts w:ascii="Arial" w:hAnsi="Arial" w:cs="Arial"/>
          <w:sz w:val="24"/>
          <w:szCs w:val="24"/>
        </w:rPr>
      </w:pPr>
    </w:p>
    <w:p w:rsidR="00112AA4" w:rsidRPr="0006724C" w:rsidRDefault="00112AA4" w:rsidP="0006724C">
      <w:pPr>
        <w:jc w:val="both"/>
        <w:rPr>
          <w:rFonts w:ascii="Arial" w:hAnsi="Arial" w:cs="Arial"/>
          <w:sz w:val="24"/>
          <w:szCs w:val="24"/>
        </w:rPr>
      </w:pPr>
    </w:p>
    <w:p w:rsidR="0006724C" w:rsidRPr="0006724C" w:rsidRDefault="0006724C" w:rsidP="0006724C">
      <w:pPr>
        <w:jc w:val="both"/>
        <w:rPr>
          <w:rFonts w:ascii="Arial" w:hAnsi="Arial" w:cs="Arial"/>
          <w:sz w:val="24"/>
          <w:szCs w:val="24"/>
        </w:rPr>
      </w:pPr>
      <w:r w:rsidRPr="0006724C">
        <w:rPr>
          <w:rFonts w:ascii="Arial" w:hAnsi="Arial" w:cs="Arial"/>
          <w:sz w:val="24"/>
          <w:szCs w:val="24"/>
        </w:rPr>
        <w:t xml:space="preserve">        </w:t>
      </w:r>
      <w:r w:rsidRPr="0006724C">
        <w:rPr>
          <w:rFonts w:ascii="Arial" w:hAnsi="Arial" w:cs="Arial"/>
          <w:noProof/>
          <w:sz w:val="24"/>
          <w:szCs w:val="24"/>
        </w:rPr>
        <w:drawing>
          <wp:anchor distT="0" distB="0" distL="114300" distR="114300" simplePos="0" relativeHeight="251658240" behindDoc="0" locked="0" layoutInCell="1" allowOverlap="1" wp14:anchorId="5BEB7E9E">
            <wp:simplePos x="0" y="0"/>
            <wp:positionH relativeFrom="column">
              <wp:posOffset>342265</wp:posOffset>
            </wp:positionH>
            <wp:positionV relativeFrom="paragraph">
              <wp:posOffset>-3810</wp:posOffset>
            </wp:positionV>
            <wp:extent cx="5257800" cy="2590800"/>
            <wp:effectExtent l="0" t="0" r="0" b="0"/>
            <wp:wrapThrough wrapText="bothSides">
              <wp:wrapPolygon edited="0">
                <wp:start x="0" y="0"/>
                <wp:lineTo x="0" y="21441"/>
                <wp:lineTo x="21522" y="21441"/>
                <wp:lineTo x="21522" y="0"/>
                <wp:lineTo x="0" y="0"/>
              </wp:wrapPolygon>
            </wp:wrapThrough>
            <wp:docPr id="13" name="Diagram 13">
              <a:extLst xmlns:a="http://schemas.openxmlformats.org/drawingml/2006/main">
                <a:ext uri="{FF2B5EF4-FFF2-40B4-BE49-F238E27FC236}">
                  <a16:creationId xmlns:a16="http://schemas.microsoft.com/office/drawing/2014/main" id="{F808E500-0B3E-4215-9A93-3801736CA5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06724C" w:rsidRPr="0006724C" w:rsidRDefault="0006724C" w:rsidP="0006724C">
      <w:pPr>
        <w:jc w:val="both"/>
        <w:rPr>
          <w:rFonts w:ascii="Arial" w:hAnsi="Arial" w:cs="Arial"/>
          <w:sz w:val="24"/>
          <w:szCs w:val="24"/>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06724C">
      <w:pPr>
        <w:spacing w:after="160" w:line="259" w:lineRule="auto"/>
        <w:jc w:val="both"/>
        <w:rPr>
          <w:rFonts w:ascii="Arial" w:hAnsi="Arial" w:cs="Arial"/>
        </w:rPr>
      </w:pPr>
    </w:p>
    <w:p w:rsidR="00112AA4" w:rsidRDefault="00112AA4" w:rsidP="00112AA4">
      <w:pPr>
        <w:contextualSpacing/>
        <w:jc w:val="both"/>
        <w:rPr>
          <w:rFonts w:ascii="Arial" w:hAnsi="Arial" w:cs="Arial"/>
        </w:rPr>
      </w:pPr>
    </w:p>
    <w:p w:rsidR="0006724C" w:rsidRPr="0006724C" w:rsidRDefault="0006724C" w:rsidP="00112AA4">
      <w:pPr>
        <w:contextualSpacing/>
        <w:jc w:val="both"/>
        <w:rPr>
          <w:rFonts w:ascii="Arial" w:hAnsi="Arial" w:cs="Arial"/>
        </w:rPr>
      </w:pPr>
      <w:r w:rsidRPr="0006724C">
        <w:rPr>
          <w:rFonts w:ascii="Arial" w:hAnsi="Arial" w:cs="Arial"/>
        </w:rPr>
        <w:t>A vendégek több, mint a fele évek óta külföldi volt, ezért figyelembe véve a koronavírus miatti korlátozásokat, és azt, hogy 2021-ben szinte kizárólag belföldiek érkeztek, az év második felének forgalma kiemelkedően jónak mondható.</w:t>
      </w:r>
    </w:p>
    <w:p w:rsidR="0006724C" w:rsidRPr="0006724C" w:rsidRDefault="0006724C" w:rsidP="0006724C">
      <w:pPr>
        <w:tabs>
          <w:tab w:val="center" w:pos="845"/>
        </w:tabs>
        <w:spacing w:after="160" w:line="259" w:lineRule="auto"/>
        <w:jc w:val="both"/>
        <w:rPr>
          <w:rFonts w:ascii="Arial" w:hAnsi="Arial" w:cs="Arial"/>
          <w:sz w:val="24"/>
          <w:szCs w:val="24"/>
        </w:rPr>
      </w:pPr>
    </w:p>
    <w:p w:rsidR="0006724C" w:rsidRPr="0006724C" w:rsidRDefault="0006724C" w:rsidP="0006724C">
      <w:pPr>
        <w:spacing w:after="160" w:line="259" w:lineRule="auto"/>
        <w:jc w:val="both"/>
        <w:rPr>
          <w:rFonts w:ascii="Arial" w:hAnsi="Arial" w:cs="Arial"/>
          <w:sz w:val="24"/>
          <w:szCs w:val="24"/>
        </w:rPr>
      </w:pPr>
      <w:r w:rsidRPr="0006724C">
        <w:rPr>
          <w:rFonts w:ascii="Arial" w:hAnsi="Arial" w:cs="Arial"/>
          <w:sz w:val="24"/>
          <w:szCs w:val="24"/>
        </w:rPr>
        <w:t xml:space="preserve">              </w:t>
      </w:r>
      <w:r w:rsidRPr="0006724C">
        <w:rPr>
          <w:rFonts w:ascii="Arial" w:hAnsi="Arial" w:cs="Arial"/>
          <w:noProof/>
          <w:sz w:val="24"/>
          <w:szCs w:val="24"/>
        </w:rPr>
        <w:drawing>
          <wp:inline distT="0" distB="0" distL="0" distR="0" wp14:anchorId="6FCF121E" wp14:editId="75F70E7E">
            <wp:extent cx="4572000" cy="2743200"/>
            <wp:effectExtent l="0" t="0" r="0" b="0"/>
            <wp:docPr id="4" name="Diagram 4">
              <a:extLst xmlns:a="http://schemas.openxmlformats.org/drawingml/2006/main">
                <a:ext uri="{FF2B5EF4-FFF2-40B4-BE49-F238E27FC236}">
                  <a16:creationId xmlns:a16="http://schemas.microsoft.com/office/drawing/2014/main" id="{2EC2173B-7C33-4B30-9C87-A45A73EC6E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12AA4" w:rsidRDefault="0006724C" w:rsidP="0006724C">
      <w:pPr>
        <w:spacing w:after="160" w:line="259" w:lineRule="auto"/>
        <w:jc w:val="both"/>
        <w:rPr>
          <w:rFonts w:ascii="Arial" w:hAnsi="Arial" w:cs="Arial"/>
          <w:sz w:val="20"/>
          <w:szCs w:val="20"/>
        </w:rPr>
      </w:pPr>
      <w:r w:rsidRPr="0006724C">
        <w:rPr>
          <w:rFonts w:ascii="Arial" w:hAnsi="Arial" w:cs="Arial"/>
          <w:sz w:val="20"/>
          <w:szCs w:val="20"/>
        </w:rPr>
        <w:t xml:space="preserve">                 </w:t>
      </w:r>
    </w:p>
    <w:p w:rsidR="0006724C" w:rsidRPr="0006724C" w:rsidRDefault="0006724C" w:rsidP="0006724C">
      <w:pPr>
        <w:spacing w:after="160" w:line="259" w:lineRule="auto"/>
        <w:jc w:val="both"/>
        <w:rPr>
          <w:rFonts w:ascii="Arial" w:hAnsi="Arial" w:cs="Arial"/>
          <w:b/>
          <w:sz w:val="20"/>
          <w:szCs w:val="20"/>
        </w:rPr>
      </w:pPr>
      <w:r w:rsidRPr="0006724C">
        <w:rPr>
          <w:rFonts w:ascii="Arial" w:hAnsi="Arial" w:cs="Arial"/>
          <w:b/>
          <w:sz w:val="20"/>
          <w:szCs w:val="20"/>
        </w:rPr>
        <w:t xml:space="preserve">    </w:t>
      </w:r>
      <w:r w:rsidR="00112AA4">
        <w:rPr>
          <w:rFonts w:ascii="Arial" w:hAnsi="Arial" w:cs="Arial"/>
          <w:b/>
          <w:sz w:val="20"/>
          <w:szCs w:val="20"/>
        </w:rPr>
        <w:tab/>
      </w:r>
      <w:r w:rsidRPr="0006724C">
        <w:rPr>
          <w:rFonts w:ascii="Arial" w:hAnsi="Arial" w:cs="Arial"/>
          <w:b/>
          <w:sz w:val="20"/>
          <w:szCs w:val="20"/>
        </w:rPr>
        <w:t>Befizetések és bevallások alapján számított vendégéjszakák 2017-2021.</w:t>
      </w:r>
    </w:p>
    <w:tbl>
      <w:tblPr>
        <w:tblW w:w="7000" w:type="dxa"/>
        <w:jc w:val="center"/>
        <w:tblCellMar>
          <w:left w:w="70" w:type="dxa"/>
          <w:right w:w="70" w:type="dxa"/>
        </w:tblCellMar>
        <w:tblLook w:val="04A0" w:firstRow="1" w:lastRow="0" w:firstColumn="1" w:lastColumn="0" w:noHBand="0" w:noVBand="1"/>
      </w:tblPr>
      <w:tblGrid>
        <w:gridCol w:w="1600"/>
        <w:gridCol w:w="1320"/>
        <w:gridCol w:w="1320"/>
        <w:gridCol w:w="1320"/>
        <w:gridCol w:w="1440"/>
      </w:tblGrid>
      <w:tr w:rsidR="0006724C" w:rsidRPr="0006724C" w:rsidTr="00732456">
        <w:trPr>
          <w:trHeight w:val="255"/>
          <w:jc w:val="center"/>
        </w:trPr>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24C" w:rsidRPr="0006724C" w:rsidRDefault="0006724C" w:rsidP="001E53F4">
            <w:pPr>
              <w:spacing w:after="0" w:line="240" w:lineRule="auto"/>
              <w:jc w:val="center"/>
              <w:rPr>
                <w:rFonts w:ascii="Arial" w:eastAsia="Times New Roman" w:hAnsi="Arial" w:cs="Arial"/>
                <w:sz w:val="20"/>
                <w:szCs w:val="20"/>
                <w:lang w:eastAsia="hu-HU"/>
              </w:rPr>
            </w:pPr>
            <w:r w:rsidRPr="0006724C">
              <w:rPr>
                <w:rFonts w:ascii="Arial" w:eastAsia="Times New Roman" w:hAnsi="Arial" w:cs="Arial"/>
                <w:sz w:val="20"/>
                <w:szCs w:val="20"/>
                <w:lang w:eastAsia="hu-HU"/>
              </w:rPr>
              <w:t>2017</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06724C" w:rsidRPr="0006724C" w:rsidRDefault="0006724C" w:rsidP="001E53F4">
            <w:pPr>
              <w:spacing w:after="0" w:line="240" w:lineRule="auto"/>
              <w:jc w:val="center"/>
              <w:rPr>
                <w:rFonts w:ascii="Arial" w:eastAsia="Times New Roman" w:hAnsi="Arial" w:cs="Arial"/>
                <w:sz w:val="20"/>
                <w:szCs w:val="20"/>
                <w:lang w:eastAsia="hu-HU"/>
              </w:rPr>
            </w:pPr>
            <w:r w:rsidRPr="0006724C">
              <w:rPr>
                <w:rFonts w:ascii="Arial" w:eastAsia="Times New Roman" w:hAnsi="Arial" w:cs="Arial"/>
                <w:sz w:val="20"/>
                <w:szCs w:val="20"/>
                <w:lang w:eastAsia="hu-HU"/>
              </w:rPr>
              <w:t>2018</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06724C" w:rsidRPr="0006724C" w:rsidRDefault="0006724C" w:rsidP="001E53F4">
            <w:pPr>
              <w:spacing w:after="0" w:line="240" w:lineRule="auto"/>
              <w:jc w:val="center"/>
              <w:rPr>
                <w:rFonts w:ascii="Arial" w:eastAsia="Times New Roman" w:hAnsi="Arial" w:cs="Arial"/>
                <w:sz w:val="20"/>
                <w:szCs w:val="20"/>
                <w:lang w:eastAsia="hu-HU"/>
              </w:rPr>
            </w:pPr>
            <w:r w:rsidRPr="0006724C">
              <w:rPr>
                <w:rFonts w:ascii="Arial" w:eastAsia="Times New Roman" w:hAnsi="Arial" w:cs="Arial"/>
                <w:sz w:val="20"/>
                <w:szCs w:val="20"/>
                <w:lang w:eastAsia="hu-HU"/>
              </w:rPr>
              <w:t>2019</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06724C" w:rsidRPr="0006724C" w:rsidRDefault="0006724C" w:rsidP="001E53F4">
            <w:pPr>
              <w:spacing w:after="0" w:line="240" w:lineRule="auto"/>
              <w:jc w:val="center"/>
              <w:rPr>
                <w:rFonts w:ascii="Arial" w:eastAsia="Times New Roman" w:hAnsi="Arial" w:cs="Arial"/>
                <w:sz w:val="20"/>
                <w:szCs w:val="20"/>
                <w:lang w:eastAsia="hu-HU"/>
              </w:rPr>
            </w:pPr>
            <w:r w:rsidRPr="0006724C">
              <w:rPr>
                <w:rFonts w:ascii="Arial" w:eastAsia="Times New Roman" w:hAnsi="Arial" w:cs="Arial"/>
                <w:sz w:val="20"/>
                <w:szCs w:val="20"/>
                <w:lang w:eastAsia="hu-HU"/>
              </w:rPr>
              <w:t>2020</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06724C" w:rsidRPr="0006724C" w:rsidRDefault="0006724C" w:rsidP="001E53F4">
            <w:pPr>
              <w:spacing w:after="0" w:line="240" w:lineRule="auto"/>
              <w:jc w:val="center"/>
              <w:rPr>
                <w:rFonts w:ascii="Arial" w:eastAsia="Times New Roman" w:hAnsi="Arial" w:cs="Arial"/>
                <w:sz w:val="20"/>
                <w:szCs w:val="20"/>
                <w:lang w:eastAsia="hu-HU"/>
              </w:rPr>
            </w:pPr>
            <w:r w:rsidRPr="0006724C">
              <w:rPr>
                <w:rFonts w:ascii="Arial" w:eastAsia="Times New Roman" w:hAnsi="Arial" w:cs="Arial"/>
                <w:sz w:val="20"/>
                <w:szCs w:val="20"/>
                <w:lang w:eastAsia="hu-HU"/>
              </w:rPr>
              <w:t>2021</w:t>
            </w:r>
          </w:p>
        </w:tc>
      </w:tr>
      <w:tr w:rsidR="0006724C" w:rsidRPr="0006724C" w:rsidTr="00732456">
        <w:trPr>
          <w:trHeight w:val="255"/>
          <w:jc w:val="center"/>
        </w:trPr>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06724C" w:rsidRPr="0006724C" w:rsidRDefault="0006724C" w:rsidP="0006724C">
            <w:pPr>
              <w:spacing w:after="0" w:line="240" w:lineRule="auto"/>
              <w:jc w:val="both"/>
              <w:rPr>
                <w:rFonts w:ascii="Arial" w:eastAsia="Times New Roman" w:hAnsi="Arial" w:cs="Arial"/>
                <w:sz w:val="20"/>
                <w:szCs w:val="20"/>
                <w:lang w:eastAsia="hu-HU"/>
              </w:rPr>
            </w:pPr>
            <w:r w:rsidRPr="0006724C">
              <w:rPr>
                <w:rFonts w:ascii="Arial" w:eastAsia="Times New Roman" w:hAnsi="Arial" w:cs="Arial"/>
                <w:sz w:val="20"/>
                <w:szCs w:val="20"/>
                <w:lang w:eastAsia="hu-HU"/>
              </w:rPr>
              <w:t xml:space="preserve">       1 200 996    </w:t>
            </w:r>
          </w:p>
        </w:tc>
        <w:tc>
          <w:tcPr>
            <w:tcW w:w="1320" w:type="dxa"/>
            <w:tcBorders>
              <w:top w:val="nil"/>
              <w:left w:val="nil"/>
              <w:bottom w:val="single" w:sz="4" w:space="0" w:color="auto"/>
              <w:right w:val="single" w:sz="4" w:space="0" w:color="auto"/>
            </w:tcBorders>
            <w:shd w:val="clear" w:color="auto" w:fill="auto"/>
            <w:noWrap/>
            <w:vAlign w:val="center"/>
            <w:hideMark/>
          </w:tcPr>
          <w:p w:rsidR="0006724C" w:rsidRPr="0006724C" w:rsidRDefault="0006724C" w:rsidP="0006724C">
            <w:pPr>
              <w:spacing w:after="0" w:line="240" w:lineRule="auto"/>
              <w:jc w:val="both"/>
              <w:rPr>
                <w:rFonts w:ascii="Arial" w:eastAsia="Times New Roman" w:hAnsi="Arial" w:cs="Arial"/>
                <w:sz w:val="20"/>
                <w:szCs w:val="20"/>
                <w:lang w:eastAsia="hu-HU"/>
              </w:rPr>
            </w:pPr>
            <w:r w:rsidRPr="0006724C">
              <w:rPr>
                <w:rFonts w:ascii="Arial" w:eastAsia="Times New Roman" w:hAnsi="Arial" w:cs="Arial"/>
                <w:sz w:val="20"/>
                <w:szCs w:val="20"/>
                <w:lang w:eastAsia="hu-HU"/>
              </w:rPr>
              <w:t xml:space="preserve">  1 222 738    </w:t>
            </w:r>
          </w:p>
        </w:tc>
        <w:tc>
          <w:tcPr>
            <w:tcW w:w="1320" w:type="dxa"/>
            <w:tcBorders>
              <w:top w:val="nil"/>
              <w:left w:val="nil"/>
              <w:bottom w:val="single" w:sz="4" w:space="0" w:color="auto"/>
              <w:right w:val="single" w:sz="4" w:space="0" w:color="auto"/>
            </w:tcBorders>
            <w:shd w:val="clear" w:color="auto" w:fill="auto"/>
            <w:noWrap/>
            <w:vAlign w:val="center"/>
            <w:hideMark/>
          </w:tcPr>
          <w:p w:rsidR="0006724C" w:rsidRPr="0006724C" w:rsidRDefault="0006724C" w:rsidP="0006724C">
            <w:pPr>
              <w:spacing w:after="0" w:line="240" w:lineRule="auto"/>
              <w:jc w:val="both"/>
              <w:rPr>
                <w:rFonts w:ascii="Arial" w:eastAsia="Times New Roman" w:hAnsi="Arial" w:cs="Arial"/>
                <w:sz w:val="20"/>
                <w:szCs w:val="20"/>
                <w:lang w:eastAsia="hu-HU"/>
              </w:rPr>
            </w:pPr>
            <w:r w:rsidRPr="0006724C">
              <w:rPr>
                <w:rFonts w:ascii="Arial" w:eastAsia="Times New Roman" w:hAnsi="Arial" w:cs="Arial"/>
                <w:sz w:val="20"/>
                <w:szCs w:val="20"/>
                <w:lang w:eastAsia="hu-HU"/>
              </w:rPr>
              <w:t xml:space="preserve">  1 233 055    </w:t>
            </w:r>
          </w:p>
        </w:tc>
        <w:tc>
          <w:tcPr>
            <w:tcW w:w="1320" w:type="dxa"/>
            <w:tcBorders>
              <w:top w:val="nil"/>
              <w:left w:val="nil"/>
              <w:bottom w:val="single" w:sz="4" w:space="0" w:color="auto"/>
              <w:right w:val="single" w:sz="4" w:space="0" w:color="auto"/>
            </w:tcBorders>
            <w:shd w:val="clear" w:color="auto" w:fill="auto"/>
            <w:noWrap/>
            <w:vAlign w:val="center"/>
            <w:hideMark/>
          </w:tcPr>
          <w:p w:rsidR="0006724C" w:rsidRPr="0006724C" w:rsidRDefault="0006724C" w:rsidP="0006724C">
            <w:pPr>
              <w:spacing w:after="0" w:line="240" w:lineRule="auto"/>
              <w:jc w:val="both"/>
              <w:rPr>
                <w:rFonts w:ascii="Arial" w:eastAsia="Times New Roman" w:hAnsi="Arial" w:cs="Arial"/>
                <w:sz w:val="20"/>
                <w:szCs w:val="20"/>
                <w:lang w:eastAsia="hu-HU"/>
              </w:rPr>
            </w:pPr>
            <w:r w:rsidRPr="0006724C">
              <w:rPr>
                <w:rFonts w:ascii="Arial" w:eastAsia="Times New Roman" w:hAnsi="Arial" w:cs="Arial"/>
                <w:sz w:val="20"/>
                <w:szCs w:val="20"/>
                <w:lang w:eastAsia="hu-HU"/>
              </w:rPr>
              <w:t xml:space="preserve">     597 711    </w:t>
            </w:r>
          </w:p>
        </w:tc>
        <w:tc>
          <w:tcPr>
            <w:tcW w:w="1440" w:type="dxa"/>
            <w:tcBorders>
              <w:top w:val="nil"/>
              <w:left w:val="nil"/>
              <w:bottom w:val="single" w:sz="4" w:space="0" w:color="auto"/>
              <w:right w:val="single" w:sz="4" w:space="0" w:color="auto"/>
            </w:tcBorders>
            <w:shd w:val="clear" w:color="auto" w:fill="auto"/>
            <w:noWrap/>
            <w:vAlign w:val="center"/>
            <w:hideMark/>
          </w:tcPr>
          <w:p w:rsidR="0006724C" w:rsidRPr="0006724C" w:rsidRDefault="0006724C" w:rsidP="0006724C">
            <w:pPr>
              <w:spacing w:after="0" w:line="240" w:lineRule="auto"/>
              <w:jc w:val="both"/>
              <w:rPr>
                <w:rFonts w:ascii="Arial" w:eastAsia="Times New Roman" w:hAnsi="Arial" w:cs="Arial"/>
                <w:sz w:val="20"/>
                <w:szCs w:val="20"/>
                <w:lang w:eastAsia="hu-HU"/>
              </w:rPr>
            </w:pPr>
            <w:r w:rsidRPr="0006724C">
              <w:rPr>
                <w:rFonts w:ascii="Arial" w:eastAsia="Times New Roman" w:hAnsi="Arial" w:cs="Arial"/>
                <w:sz w:val="20"/>
                <w:szCs w:val="20"/>
                <w:lang w:eastAsia="hu-HU"/>
              </w:rPr>
              <w:t xml:space="preserve">       512 109    </w:t>
            </w:r>
          </w:p>
        </w:tc>
      </w:tr>
    </w:tbl>
    <w:p w:rsidR="0006724C" w:rsidRPr="0006724C" w:rsidRDefault="0006724C" w:rsidP="0006724C">
      <w:pPr>
        <w:spacing w:after="160" w:line="259" w:lineRule="auto"/>
        <w:jc w:val="both"/>
        <w:rPr>
          <w:rFonts w:ascii="Arial" w:hAnsi="Arial" w:cs="Arial"/>
          <w:sz w:val="20"/>
          <w:szCs w:val="20"/>
        </w:rPr>
      </w:pPr>
    </w:p>
    <w:p w:rsidR="0006724C" w:rsidRPr="0006724C" w:rsidRDefault="0006724C" w:rsidP="00112AA4">
      <w:pPr>
        <w:spacing w:afterLines="200" w:after="480"/>
        <w:contextualSpacing/>
        <w:jc w:val="both"/>
        <w:rPr>
          <w:rFonts w:ascii="Arial" w:hAnsi="Arial" w:cs="Arial"/>
          <w:highlight w:val="yellow"/>
        </w:rPr>
      </w:pPr>
      <w:r w:rsidRPr="0006724C">
        <w:rPr>
          <w:rFonts w:ascii="Arial" w:hAnsi="Arial" w:cs="Arial"/>
        </w:rPr>
        <w:t xml:space="preserve">Az adónem kintlévősége 2021. december 31. napján 3 716 ezer Ft volt. A </w:t>
      </w:r>
      <w:proofErr w:type="spellStart"/>
      <w:r w:rsidRPr="0006724C">
        <w:rPr>
          <w:rFonts w:ascii="Arial" w:hAnsi="Arial" w:cs="Arial"/>
        </w:rPr>
        <w:t>Covid</w:t>
      </w:r>
      <w:proofErr w:type="spellEnd"/>
      <w:r w:rsidRPr="0006724C">
        <w:rPr>
          <w:rFonts w:ascii="Arial" w:hAnsi="Arial" w:cs="Arial"/>
        </w:rPr>
        <w:t xml:space="preserve"> okozta gazdasági helyzetre való tekintettel inkasszót nem alkalmaztunk.</w:t>
      </w:r>
    </w:p>
    <w:p w:rsidR="0006724C" w:rsidRPr="0006724C" w:rsidRDefault="0006724C" w:rsidP="00112AA4">
      <w:pPr>
        <w:spacing w:afterLines="200" w:after="480"/>
        <w:contextualSpacing/>
        <w:jc w:val="both"/>
        <w:rPr>
          <w:rFonts w:ascii="Arial" w:hAnsi="Arial" w:cs="Arial"/>
          <w:highlight w:val="yellow"/>
        </w:rPr>
      </w:pPr>
      <w:r w:rsidRPr="0006724C">
        <w:rPr>
          <w:rFonts w:ascii="Arial" w:hAnsi="Arial" w:cs="Arial"/>
        </w:rPr>
        <w:t>Megközelítően 4 200 idegenforgalmi adóval kapcsolatos irat került feldolgozásra.</w:t>
      </w:r>
    </w:p>
    <w:p w:rsidR="0006724C" w:rsidRPr="0006724C" w:rsidRDefault="0006724C" w:rsidP="00112AA4">
      <w:pPr>
        <w:spacing w:afterLines="200" w:after="480"/>
        <w:contextualSpacing/>
        <w:jc w:val="both"/>
        <w:rPr>
          <w:rFonts w:ascii="Arial" w:hAnsi="Arial" w:cs="Arial"/>
        </w:rPr>
      </w:pPr>
      <w:r w:rsidRPr="0006724C">
        <w:rPr>
          <w:rFonts w:ascii="Arial" w:hAnsi="Arial" w:cs="Arial"/>
        </w:rPr>
        <w:t xml:space="preserve">Az elektronikus ügyintézéssel kapcsolatos tájékoztatásra, segítségnyújtásra szánt idő, energia megtérül, mert a rendben működő ügyfélkapuval rendelkező ügyfelek már jórészt elektronikusan adják be bevallásaikat annak ellenére is, hogy az önkormányzati portálon gyakoriak a </w:t>
      </w:r>
      <w:r w:rsidRPr="0006724C">
        <w:rPr>
          <w:rFonts w:ascii="Arial" w:hAnsi="Arial" w:cs="Arial"/>
        </w:rPr>
        <w:lastRenderedPageBreak/>
        <w:t>fennakadások. Az elektronikus ügyintézés az ügyfelek számára nagyobb időbeni és térbeni rugalmasságot jelent.</w:t>
      </w:r>
    </w:p>
    <w:p w:rsidR="0006724C" w:rsidRPr="0006724C" w:rsidRDefault="0006724C" w:rsidP="00112AA4">
      <w:pPr>
        <w:spacing w:afterLines="200" w:after="480"/>
        <w:contextualSpacing/>
        <w:jc w:val="both"/>
        <w:rPr>
          <w:rFonts w:ascii="Arial" w:hAnsi="Arial" w:cs="Arial"/>
        </w:rPr>
      </w:pPr>
      <w:r w:rsidRPr="0006724C">
        <w:rPr>
          <w:rFonts w:ascii="Arial" w:hAnsi="Arial" w:cs="Arial"/>
        </w:rPr>
        <w:t>A beszedett idegenforgalmi adó után 2020. évtől normatív támogatást már nem igényelhettünk</w:t>
      </w:r>
      <w:bookmarkStart w:id="3" w:name="_Hlk98506529"/>
      <w:r w:rsidRPr="0006724C">
        <w:rPr>
          <w:rFonts w:ascii="Arial" w:hAnsi="Arial" w:cs="Arial"/>
        </w:rPr>
        <w:t>.</w:t>
      </w:r>
    </w:p>
    <w:bookmarkEnd w:id="3"/>
    <w:p w:rsidR="00836D9B" w:rsidRPr="00A55050" w:rsidRDefault="00836D9B" w:rsidP="00B5146E">
      <w:pPr>
        <w:ind w:firstLine="708"/>
        <w:rPr>
          <w:rFonts w:ascii="Arial" w:hAnsi="Arial" w:cs="Arial"/>
          <w:highlight w:val="yellow"/>
        </w:rPr>
      </w:pPr>
    </w:p>
    <w:p w:rsidR="00861CAB" w:rsidRPr="00112AA4" w:rsidRDefault="00010EBB" w:rsidP="00112AA4">
      <w:pPr>
        <w:pStyle w:val="Listaszerbekezds"/>
        <w:numPr>
          <w:ilvl w:val="1"/>
          <w:numId w:val="1"/>
        </w:numPr>
        <w:jc w:val="both"/>
        <w:rPr>
          <w:rFonts w:ascii="Arial" w:hAnsi="Arial" w:cs="Arial"/>
          <w:b/>
        </w:rPr>
      </w:pPr>
      <w:r w:rsidRPr="00112AA4">
        <w:rPr>
          <w:rFonts w:ascii="Arial" w:hAnsi="Arial" w:cs="Arial"/>
          <w:b/>
        </w:rPr>
        <w:t xml:space="preserve"> </w:t>
      </w:r>
      <w:r w:rsidR="00861CAB" w:rsidRPr="00112AA4">
        <w:rPr>
          <w:rFonts w:ascii="Arial" w:hAnsi="Arial" w:cs="Arial"/>
          <w:b/>
        </w:rPr>
        <w:t>Helyi jövedéki adó</w:t>
      </w:r>
    </w:p>
    <w:p w:rsidR="009C09B5" w:rsidRPr="00010EBB" w:rsidRDefault="009C09B5" w:rsidP="00112AA4">
      <w:pPr>
        <w:contextualSpacing/>
        <w:jc w:val="both"/>
        <w:rPr>
          <w:rFonts w:ascii="Arial" w:eastAsiaTheme="minorHAnsi" w:hAnsi="Arial" w:cs="Arial"/>
        </w:rPr>
      </w:pPr>
      <w:r w:rsidRPr="00010EBB">
        <w:rPr>
          <w:rFonts w:ascii="Arial" w:eastAsiaTheme="minorHAnsi" w:hAnsi="Arial" w:cs="Arial"/>
        </w:rPr>
        <w:t>Jövedéki ügyben a jövedéki adóról szóló 2016. évi LXVIII. törvény rendelkezései alapján, az állami adó-és vámhatóság jár el, az alábbi kivétellel:</w:t>
      </w:r>
    </w:p>
    <w:p w:rsidR="009C09B5" w:rsidRPr="00010EBB" w:rsidRDefault="009C09B5" w:rsidP="00112AA4">
      <w:pPr>
        <w:contextualSpacing/>
        <w:jc w:val="both"/>
        <w:rPr>
          <w:rFonts w:ascii="Arial" w:eastAsiaTheme="minorHAnsi" w:hAnsi="Arial" w:cs="Arial"/>
        </w:rPr>
      </w:pPr>
      <w:r w:rsidRPr="00010EBB">
        <w:rPr>
          <w:rFonts w:ascii="Arial" w:eastAsiaTheme="minorHAnsi" w:hAnsi="Arial" w:cs="Arial"/>
        </w:rPr>
        <w:t>-</w:t>
      </w:r>
      <w:r w:rsidRPr="00010EBB">
        <w:rPr>
          <w:rFonts w:ascii="Arial" w:eastAsiaTheme="minorHAnsi" w:hAnsi="Arial" w:cs="Arial"/>
        </w:rPr>
        <w:tab/>
        <w:t>a magánfőző desztillálóberendezésének bejelentésével kapcsolatban a lakóhely szerinti, a magánfőzés szabály</w:t>
      </w:r>
      <w:r w:rsidR="007314F3" w:rsidRPr="00010EBB">
        <w:rPr>
          <w:rFonts w:ascii="Arial" w:eastAsiaTheme="minorHAnsi" w:hAnsi="Arial" w:cs="Arial"/>
        </w:rPr>
        <w:t>a</w:t>
      </w:r>
      <w:r w:rsidRPr="00010EBB">
        <w:rPr>
          <w:rFonts w:ascii="Arial" w:eastAsiaTheme="minorHAnsi" w:hAnsi="Arial" w:cs="Arial"/>
        </w:rPr>
        <w:t>i betartásának ellenőrzésével kapcsolatban – ide nem értve a</w:t>
      </w:r>
      <w:r w:rsidR="007314F3" w:rsidRPr="00010EBB">
        <w:rPr>
          <w:rFonts w:ascii="Arial" w:eastAsiaTheme="minorHAnsi" w:hAnsi="Arial" w:cs="Arial"/>
        </w:rPr>
        <w:t>z</w:t>
      </w:r>
      <w:r w:rsidRPr="00010EBB">
        <w:rPr>
          <w:rFonts w:ascii="Arial" w:eastAsiaTheme="minorHAnsi" w:hAnsi="Arial" w:cs="Arial"/>
        </w:rPr>
        <w:t xml:space="preserve"> előállított termék jogszabálysértő értékesítését – pedig az ellenőrzött tevékenység végzésének helye szerinti önkormányzati adóhatóság jár el,</w:t>
      </w:r>
    </w:p>
    <w:p w:rsidR="009C09B5" w:rsidRPr="00010EBB" w:rsidRDefault="009C09B5" w:rsidP="00112AA4">
      <w:pPr>
        <w:contextualSpacing/>
        <w:jc w:val="both"/>
        <w:rPr>
          <w:rFonts w:ascii="Arial" w:eastAsiaTheme="minorHAnsi" w:hAnsi="Arial" w:cs="Arial"/>
        </w:rPr>
      </w:pPr>
      <w:r w:rsidRPr="00010EBB">
        <w:rPr>
          <w:rFonts w:ascii="Arial" w:eastAsiaTheme="minorHAnsi" w:hAnsi="Arial" w:cs="Arial"/>
        </w:rPr>
        <w:t>-</w:t>
      </w:r>
      <w:r w:rsidRPr="00010EBB">
        <w:rPr>
          <w:rFonts w:ascii="Arial" w:eastAsiaTheme="minorHAnsi" w:hAnsi="Arial" w:cs="Arial"/>
        </w:rPr>
        <w:tab/>
        <w:t xml:space="preserve">a </w:t>
      </w:r>
      <w:r w:rsidRPr="0043571D">
        <w:rPr>
          <w:rFonts w:ascii="Arial" w:eastAsiaTheme="minorHAnsi" w:hAnsi="Arial" w:cs="Arial"/>
        </w:rPr>
        <w:t xml:space="preserve">magánfőző </w:t>
      </w:r>
      <w:r w:rsidR="00D72706" w:rsidRPr="0043571D">
        <w:rPr>
          <w:rFonts w:ascii="Arial" w:eastAsiaTheme="minorHAnsi" w:hAnsi="Arial" w:cs="Arial"/>
        </w:rPr>
        <w:t>(</w:t>
      </w:r>
      <w:r w:rsidR="0043571D" w:rsidRPr="0043571D">
        <w:rPr>
          <w:rFonts w:ascii="Arial" w:eastAsiaTheme="minorHAnsi" w:hAnsi="Arial" w:cs="Arial"/>
        </w:rPr>
        <w:t xml:space="preserve">24 </w:t>
      </w:r>
      <w:r w:rsidR="00D72706" w:rsidRPr="0043571D">
        <w:rPr>
          <w:rFonts w:ascii="Arial" w:eastAsiaTheme="minorHAnsi" w:hAnsi="Arial" w:cs="Arial"/>
        </w:rPr>
        <w:t xml:space="preserve">fő) </w:t>
      </w:r>
      <w:r w:rsidRPr="00010EBB">
        <w:rPr>
          <w:rFonts w:ascii="Arial" w:eastAsiaTheme="minorHAnsi" w:hAnsi="Arial" w:cs="Arial"/>
        </w:rPr>
        <w:t xml:space="preserve">a magánfőzésre szolgáló desztillálóberendezés feletti tulajdonszerzését, valamint a bejelentett adatokban történt változást köteles bejelenteni a lakóhelye szerinti önkormányzati adóhatósághoz, </w:t>
      </w:r>
    </w:p>
    <w:p w:rsidR="009C09B5" w:rsidRPr="00010EBB" w:rsidRDefault="009C09B5" w:rsidP="00112AA4">
      <w:pPr>
        <w:contextualSpacing/>
        <w:jc w:val="both"/>
        <w:rPr>
          <w:rFonts w:ascii="Arial" w:eastAsiaTheme="minorHAnsi" w:hAnsi="Arial" w:cs="Arial"/>
        </w:rPr>
      </w:pPr>
      <w:r w:rsidRPr="00010EBB">
        <w:rPr>
          <w:rFonts w:ascii="Arial" w:eastAsiaTheme="minorHAnsi" w:hAnsi="Arial" w:cs="Arial"/>
        </w:rPr>
        <w:t>-</w:t>
      </w:r>
      <w:r w:rsidRPr="00010EBB">
        <w:rPr>
          <w:rFonts w:ascii="Arial" w:eastAsiaTheme="minorHAnsi" w:hAnsi="Arial" w:cs="Arial"/>
        </w:rPr>
        <w:tab/>
        <w:t>az önkormányzati adóhatóság a bejelentésről értesíti az állami adó-és vámhatóságot és a bejelentéssel érintett másik önkormányzati adóhatóságot.</w:t>
      </w:r>
    </w:p>
    <w:p w:rsidR="009C09B5" w:rsidRPr="00010EBB" w:rsidRDefault="009C09B5" w:rsidP="00112AA4">
      <w:pPr>
        <w:contextualSpacing/>
        <w:jc w:val="both"/>
        <w:rPr>
          <w:rFonts w:ascii="Arial" w:eastAsiaTheme="minorHAnsi" w:hAnsi="Arial" w:cs="Arial"/>
        </w:rPr>
      </w:pPr>
    </w:p>
    <w:p w:rsidR="009C09B5" w:rsidRPr="00010EBB" w:rsidRDefault="009C09B5" w:rsidP="00112AA4">
      <w:pPr>
        <w:contextualSpacing/>
        <w:jc w:val="both"/>
        <w:rPr>
          <w:rFonts w:ascii="Arial" w:eastAsiaTheme="minorHAnsi" w:hAnsi="Arial" w:cs="Arial"/>
        </w:rPr>
      </w:pPr>
      <w:r w:rsidRPr="00010EBB">
        <w:rPr>
          <w:rFonts w:ascii="Arial" w:eastAsiaTheme="minorHAnsi" w:hAnsi="Arial" w:cs="Arial"/>
        </w:rPr>
        <w:t xml:space="preserve">Az önkormányzati adóhatóságnál regisztrált magánfőző jogosult párlat adójegy-beszerzésre. A magánfőzőknek a párlatadójegyeket kell beszerezniük a vámhatóságtól, így önkormányzatunk nem részesül adó bevételből ezen adónem után.  </w:t>
      </w:r>
    </w:p>
    <w:p w:rsidR="00D2589F" w:rsidRPr="00010EBB" w:rsidRDefault="009C09B5" w:rsidP="00112AA4">
      <w:pPr>
        <w:contextualSpacing/>
        <w:jc w:val="both"/>
        <w:rPr>
          <w:rFonts w:ascii="Arial" w:eastAsiaTheme="minorHAnsi" w:hAnsi="Arial" w:cs="Arial"/>
        </w:rPr>
      </w:pPr>
      <w:r w:rsidRPr="00010EBB">
        <w:rPr>
          <w:rFonts w:ascii="Arial" w:eastAsiaTheme="minorHAnsi" w:hAnsi="Arial" w:cs="Arial"/>
        </w:rPr>
        <w:t xml:space="preserve">Az állami adó- és vámhatóság az átadott párlat adójegymennyiség megadásával haladéktalanul értesíti a desztillálóberendezés tárolási, használati helye szerinti önkormányzatot.  </w:t>
      </w:r>
    </w:p>
    <w:p w:rsidR="0006724C" w:rsidRDefault="0006724C" w:rsidP="00F921C6">
      <w:pPr>
        <w:spacing w:after="0"/>
        <w:jc w:val="both"/>
        <w:rPr>
          <w:rFonts w:ascii="Arial" w:eastAsiaTheme="minorHAnsi" w:hAnsi="Arial" w:cs="Arial"/>
          <w:highlight w:val="yellow"/>
        </w:rPr>
      </w:pPr>
    </w:p>
    <w:p w:rsidR="0006724C" w:rsidRPr="00112AA4" w:rsidRDefault="0006724C" w:rsidP="00112AA4">
      <w:pPr>
        <w:pStyle w:val="Listaszerbekezds"/>
        <w:numPr>
          <w:ilvl w:val="1"/>
          <w:numId w:val="1"/>
        </w:numPr>
        <w:jc w:val="both"/>
        <w:rPr>
          <w:rFonts w:ascii="Arial" w:hAnsi="Arial" w:cs="Arial"/>
          <w:b/>
        </w:rPr>
      </w:pPr>
      <w:r w:rsidRPr="00112AA4">
        <w:rPr>
          <w:rFonts w:ascii="Arial" w:hAnsi="Arial" w:cs="Arial"/>
          <w:b/>
        </w:rPr>
        <w:t>Talajterhelési díj</w:t>
      </w:r>
    </w:p>
    <w:p w:rsidR="0006724C" w:rsidRPr="0006724C" w:rsidRDefault="0006724C" w:rsidP="00112AA4">
      <w:pPr>
        <w:contextualSpacing/>
        <w:jc w:val="both"/>
        <w:rPr>
          <w:rFonts w:ascii="Arial" w:hAnsi="Arial" w:cs="Arial"/>
          <w:highlight w:val="yellow"/>
        </w:rPr>
      </w:pPr>
      <w:r w:rsidRPr="0006724C">
        <w:rPr>
          <w:rFonts w:ascii="Arial" w:hAnsi="Arial" w:cs="Arial"/>
        </w:rPr>
        <w:t xml:space="preserve">A 2003. évi LXXXIX. törvény értelmében talajterhelési díj fizetésére az a kibocsátó kötelezett, aki a műszakilag rendelkezésre álló közcsatornára nem köt rá. A díj mértéke jelenleg 1 200 Ft/m3. Hévíz a felszín alatti víz állapota szempontjából a 27/2004. (XII.25.) </w:t>
      </w:r>
      <w:proofErr w:type="spellStart"/>
      <w:r w:rsidRPr="0006724C">
        <w:rPr>
          <w:rFonts w:ascii="Arial" w:hAnsi="Arial" w:cs="Arial"/>
        </w:rPr>
        <w:t>KvVM</w:t>
      </w:r>
      <w:proofErr w:type="spellEnd"/>
      <w:r w:rsidRPr="0006724C">
        <w:rPr>
          <w:rFonts w:ascii="Arial" w:hAnsi="Arial" w:cs="Arial"/>
        </w:rPr>
        <w:t xml:space="preserve"> rendelet alapján fokozottan érzékeny vízminőségi területen lévő településnek számít, ami a legmagasabb besorolást, háromszoros szorzót jelent, így a díj településünkön 3 600 Ft/m3.</w:t>
      </w:r>
    </w:p>
    <w:p w:rsidR="0006724C" w:rsidRPr="0006724C" w:rsidRDefault="0006724C" w:rsidP="00112AA4">
      <w:pPr>
        <w:contextualSpacing/>
        <w:jc w:val="both"/>
        <w:rPr>
          <w:rFonts w:ascii="Arial" w:hAnsi="Arial" w:cs="Arial"/>
          <w:highlight w:val="yellow"/>
        </w:rPr>
      </w:pPr>
      <w:r w:rsidRPr="0006724C">
        <w:rPr>
          <w:rFonts w:ascii="Arial" w:hAnsi="Arial" w:cs="Arial"/>
        </w:rPr>
        <w:t>Városunk nagymértékben csatornázott, ezért ebből a díjból számottevő bevétel nem származik. 2021-ben 1 esetben 3 600 Ft került kivetésre.</w:t>
      </w:r>
      <w:r w:rsidRPr="0006724C">
        <w:rPr>
          <w:rFonts w:ascii="Arial" w:hAnsi="Arial" w:cs="Arial"/>
          <w:highlight w:val="yellow"/>
        </w:rPr>
        <w:t xml:space="preserve"> </w:t>
      </w:r>
    </w:p>
    <w:p w:rsidR="0006724C" w:rsidRDefault="0006724C" w:rsidP="00112AA4">
      <w:pPr>
        <w:autoSpaceDE w:val="0"/>
        <w:autoSpaceDN w:val="0"/>
        <w:adjustRightInd w:val="0"/>
        <w:spacing w:after="0"/>
        <w:jc w:val="both"/>
        <w:rPr>
          <w:rFonts w:ascii="Arial" w:hAnsi="Arial" w:cs="Arial"/>
          <w:b/>
        </w:rPr>
      </w:pPr>
      <w:r>
        <w:rPr>
          <w:rFonts w:ascii="Arial" w:hAnsi="Arial" w:cs="Arial"/>
        </w:rPr>
        <w:t xml:space="preserve"> </w:t>
      </w:r>
    </w:p>
    <w:p w:rsidR="00F409E3" w:rsidRPr="00112AA4" w:rsidRDefault="00F409E3" w:rsidP="00112AA4">
      <w:pPr>
        <w:pStyle w:val="Listaszerbekezds"/>
        <w:numPr>
          <w:ilvl w:val="1"/>
          <w:numId w:val="1"/>
        </w:numPr>
        <w:spacing w:after="240"/>
        <w:jc w:val="both"/>
        <w:rPr>
          <w:rFonts w:ascii="Arial" w:hAnsi="Arial" w:cs="Arial"/>
          <w:b/>
        </w:rPr>
      </w:pPr>
      <w:r w:rsidRPr="00112AA4">
        <w:rPr>
          <w:rFonts w:ascii="Arial" w:hAnsi="Arial" w:cs="Arial"/>
          <w:b/>
        </w:rPr>
        <w:t>Adók módjára behajtandó köztartozások</w:t>
      </w:r>
    </w:p>
    <w:p w:rsidR="00BF6143" w:rsidRPr="00716D24" w:rsidRDefault="00BF6143" w:rsidP="00112AA4">
      <w:pPr>
        <w:spacing w:afterLines="200" w:after="480"/>
        <w:contextualSpacing/>
        <w:jc w:val="both"/>
        <w:rPr>
          <w:rFonts w:ascii="Arial" w:hAnsi="Arial" w:cs="Arial"/>
        </w:rPr>
      </w:pPr>
      <w:r w:rsidRPr="00716D24">
        <w:rPr>
          <w:rFonts w:ascii="Arial" w:hAnsi="Arial" w:cs="Arial"/>
        </w:rPr>
        <w:t xml:space="preserve">Az adók módjára behajtandó köztartozások esetében az önkormányzati adóhatóság nem a saját ügyében jár el, hanem más szerv, hatóság (kimutató szerv) által megállapított fizetési kötelezettséget érvényesít, amikor a kimutató szerv részére nem teljesíti fizetési kötelezettségét. </w:t>
      </w:r>
    </w:p>
    <w:p w:rsidR="00BF6143" w:rsidRPr="00716D24" w:rsidRDefault="00BF6143" w:rsidP="00112AA4">
      <w:pPr>
        <w:spacing w:afterLines="200" w:after="480"/>
        <w:contextualSpacing/>
        <w:jc w:val="both"/>
        <w:rPr>
          <w:rFonts w:ascii="Arial" w:eastAsia="Times New Roman" w:hAnsi="Arial" w:cs="Arial"/>
          <w:lang w:eastAsia="hu-HU"/>
        </w:rPr>
      </w:pPr>
    </w:p>
    <w:p w:rsidR="003205C7" w:rsidRPr="00716D24" w:rsidRDefault="003205C7" w:rsidP="00112AA4">
      <w:pPr>
        <w:spacing w:afterLines="200" w:after="480"/>
        <w:contextualSpacing/>
        <w:jc w:val="both"/>
        <w:rPr>
          <w:rFonts w:ascii="Arial" w:eastAsia="Times New Roman" w:hAnsi="Arial" w:cs="Arial"/>
          <w:lang w:eastAsia="hu-HU"/>
        </w:rPr>
      </w:pPr>
      <w:r w:rsidRPr="00716D24">
        <w:rPr>
          <w:rFonts w:ascii="Arial" w:eastAsia="Times New Roman" w:hAnsi="Arial" w:cs="Arial"/>
          <w:lang w:eastAsia="hu-HU"/>
        </w:rPr>
        <w:t>A tartozások végrehajtása minden esetben hivatalból indul. Először fizetési felhívás kiküldésére kerül sor, majd nem teljesítés esetén végrehajtás foganatosítása következik.</w:t>
      </w:r>
    </w:p>
    <w:p w:rsidR="003205C7" w:rsidRPr="00716D24" w:rsidRDefault="003205C7" w:rsidP="00112AA4">
      <w:pPr>
        <w:spacing w:afterLines="200" w:after="480"/>
        <w:contextualSpacing/>
        <w:jc w:val="both"/>
        <w:rPr>
          <w:rFonts w:ascii="Arial" w:eastAsia="Times New Roman" w:hAnsi="Arial" w:cs="Arial"/>
          <w:lang w:eastAsia="hu-HU"/>
        </w:rPr>
      </w:pPr>
      <w:r w:rsidRPr="00716D24">
        <w:rPr>
          <w:rFonts w:ascii="Arial" w:eastAsia="Times New Roman" w:hAnsi="Arial" w:cs="Arial"/>
          <w:lang w:eastAsia="hu-HU"/>
        </w:rPr>
        <w:t>Az önkormányzati adóhatóság a tartozás beszedéséig, illetve az elévülési határidőig végzi a végrehajtást.</w:t>
      </w:r>
    </w:p>
    <w:p w:rsidR="003205C7" w:rsidRPr="00A55050" w:rsidRDefault="003205C7" w:rsidP="00112AA4">
      <w:pPr>
        <w:spacing w:afterLines="200" w:after="480"/>
        <w:contextualSpacing/>
        <w:jc w:val="both"/>
        <w:rPr>
          <w:rFonts w:ascii="Arial" w:eastAsia="Times New Roman" w:hAnsi="Arial" w:cs="Arial"/>
          <w:highlight w:val="yellow"/>
          <w:lang w:eastAsia="hu-HU"/>
        </w:rPr>
      </w:pPr>
    </w:p>
    <w:p w:rsidR="003205C7" w:rsidRPr="00A55050" w:rsidRDefault="003205C7" w:rsidP="00112AA4">
      <w:pPr>
        <w:spacing w:afterLines="200" w:after="480"/>
        <w:contextualSpacing/>
        <w:jc w:val="both"/>
        <w:rPr>
          <w:rFonts w:ascii="Arial" w:hAnsi="Arial" w:cs="Arial"/>
          <w:highlight w:val="yellow"/>
        </w:rPr>
      </w:pPr>
      <w:r w:rsidRPr="00955706">
        <w:rPr>
          <w:rFonts w:ascii="Arial" w:hAnsi="Arial" w:cs="Arial"/>
          <w:iCs/>
        </w:rPr>
        <w:t xml:space="preserve">A tavalyi évben hozzánk </w:t>
      </w:r>
      <w:r>
        <w:rPr>
          <w:rFonts w:ascii="Arial" w:hAnsi="Arial" w:cs="Arial"/>
          <w:iCs/>
        </w:rPr>
        <w:t>8</w:t>
      </w:r>
      <w:r w:rsidRPr="00955706">
        <w:rPr>
          <w:rFonts w:ascii="Arial" w:hAnsi="Arial" w:cs="Arial"/>
          <w:iCs/>
        </w:rPr>
        <w:t xml:space="preserve"> ese</w:t>
      </w:r>
      <w:r w:rsidR="00D72706">
        <w:rPr>
          <w:rFonts w:ascii="Arial" w:hAnsi="Arial" w:cs="Arial"/>
          <w:iCs/>
        </w:rPr>
        <w:t>t</w:t>
      </w:r>
      <w:r w:rsidRPr="00955706">
        <w:rPr>
          <w:rFonts w:ascii="Arial" w:hAnsi="Arial" w:cs="Arial"/>
          <w:iCs/>
        </w:rPr>
        <w:t>ben érkezett megkeresés</w:t>
      </w:r>
      <w:r w:rsidRPr="00685107">
        <w:rPr>
          <w:rFonts w:ascii="Arial" w:hAnsi="Arial" w:cs="Arial"/>
          <w:iCs/>
        </w:rPr>
        <w:t xml:space="preserve">, összesen </w:t>
      </w:r>
      <w:r>
        <w:rPr>
          <w:rFonts w:ascii="Arial" w:hAnsi="Arial" w:cs="Arial"/>
          <w:iCs/>
        </w:rPr>
        <w:t>96 525</w:t>
      </w:r>
      <w:r w:rsidRPr="00685107">
        <w:rPr>
          <w:rFonts w:ascii="Arial" w:hAnsi="Arial" w:cs="Arial"/>
          <w:iCs/>
        </w:rPr>
        <w:t xml:space="preserve">,- Ft, </w:t>
      </w:r>
      <w:r w:rsidRPr="00685107">
        <w:rPr>
          <w:rFonts w:ascii="Arial" w:hAnsi="Arial" w:cs="Arial"/>
        </w:rPr>
        <w:t>végrehajtási</w:t>
      </w:r>
      <w:r w:rsidRPr="00955706">
        <w:rPr>
          <w:rFonts w:ascii="Arial" w:hAnsi="Arial" w:cs="Arial"/>
        </w:rPr>
        <w:t xml:space="preserve"> eljárásban 65 025,- Ft került behajtásra, melyet adóhatóságom tovább utalt a megkereső szerv részére.</w:t>
      </w:r>
    </w:p>
    <w:p w:rsidR="00BF6143" w:rsidRPr="00A55050" w:rsidRDefault="00BF6143" w:rsidP="00112AA4">
      <w:pPr>
        <w:spacing w:afterLines="200" w:after="480"/>
        <w:contextualSpacing/>
        <w:jc w:val="both"/>
        <w:rPr>
          <w:rFonts w:ascii="Arial" w:eastAsia="Times New Roman" w:hAnsi="Arial" w:cs="Arial"/>
          <w:highlight w:val="yellow"/>
          <w:lang w:eastAsia="hu-HU"/>
        </w:rPr>
      </w:pPr>
    </w:p>
    <w:p w:rsidR="00BF6143" w:rsidRPr="00716D24" w:rsidRDefault="00BF6143" w:rsidP="00112AA4">
      <w:pPr>
        <w:spacing w:afterLines="200" w:after="480"/>
        <w:contextualSpacing/>
        <w:jc w:val="both"/>
        <w:rPr>
          <w:rFonts w:ascii="Arial" w:eastAsia="Times New Roman" w:hAnsi="Arial" w:cs="Arial"/>
          <w:lang w:eastAsia="hu-HU"/>
        </w:rPr>
      </w:pPr>
      <w:r w:rsidRPr="00716D24">
        <w:rPr>
          <w:rFonts w:ascii="Arial" w:eastAsia="Times New Roman" w:hAnsi="Arial" w:cs="Arial"/>
          <w:lang w:eastAsia="hu-HU"/>
        </w:rPr>
        <w:t>A végrehajtás foganatosításáért minden esetben 5.000,- Ft költségátalány kerül felszámításra.</w:t>
      </w:r>
    </w:p>
    <w:p w:rsidR="00F409E3" w:rsidRPr="00010EBB" w:rsidRDefault="00F409E3" w:rsidP="00112AA4">
      <w:pPr>
        <w:pStyle w:val="Listaszerbekezds"/>
        <w:numPr>
          <w:ilvl w:val="0"/>
          <w:numId w:val="1"/>
        </w:numPr>
        <w:spacing w:after="120" w:line="276" w:lineRule="auto"/>
        <w:ind w:left="993"/>
        <w:jc w:val="both"/>
        <w:rPr>
          <w:rFonts w:ascii="Arial" w:hAnsi="Arial" w:cs="Arial"/>
          <w:b/>
        </w:rPr>
      </w:pPr>
      <w:bookmarkStart w:id="4" w:name="_Hlk66799653"/>
      <w:r w:rsidRPr="00010EBB">
        <w:rPr>
          <w:rFonts w:ascii="Arial" w:hAnsi="Arial" w:cs="Arial"/>
          <w:b/>
        </w:rPr>
        <w:lastRenderedPageBreak/>
        <w:t>Adó-és értékbizonyítványok kiállítása</w:t>
      </w:r>
    </w:p>
    <w:p w:rsidR="00974D54" w:rsidRPr="00010EBB" w:rsidRDefault="00974D54" w:rsidP="00974D54">
      <w:pPr>
        <w:pStyle w:val="Listaszerbekezds"/>
        <w:spacing w:after="120" w:line="276" w:lineRule="auto"/>
        <w:ind w:left="993"/>
        <w:jc w:val="both"/>
        <w:rPr>
          <w:rFonts w:ascii="Arial" w:hAnsi="Arial" w:cs="Arial"/>
          <w:b/>
        </w:rPr>
      </w:pPr>
    </w:p>
    <w:p w:rsidR="00B45D52" w:rsidRPr="00010EBB" w:rsidRDefault="00B45D52" w:rsidP="00112AA4">
      <w:pPr>
        <w:contextualSpacing/>
        <w:jc w:val="both"/>
        <w:rPr>
          <w:rFonts w:ascii="Arial" w:eastAsia="Times New Roman" w:hAnsi="Arial" w:cs="Arial"/>
          <w:lang w:eastAsia="hu-HU"/>
        </w:rPr>
      </w:pPr>
      <w:r w:rsidRPr="00010EBB">
        <w:rPr>
          <w:rFonts w:ascii="Arial" w:eastAsia="Times New Roman" w:hAnsi="Arial" w:cs="Arial"/>
          <w:lang w:eastAsia="hu-HU"/>
        </w:rPr>
        <w:t>Az adó- és értékbizonyítvány kiállítására jellemzően bírósági végrehajtási, hagyatéki, gyámhatósági, vagyoni helyzet, természetes személyek adósságrendezési, adásvételi eljáráshoz, továbbá lakáscélú állami támogatás, illetve szociális ellátás igényléséhez kapcsolódóan kerül sor. A jegyző - az adott jogszabályi előírástól függően - az ügyfél kérelmére vagy hatóság megkeresésére állítja ki az adó- és értékbizonyítványt.</w:t>
      </w:r>
    </w:p>
    <w:p w:rsidR="00974D54" w:rsidRPr="00010EBB" w:rsidRDefault="00974D54" w:rsidP="00112AA4">
      <w:pPr>
        <w:contextualSpacing/>
        <w:jc w:val="both"/>
        <w:rPr>
          <w:rFonts w:ascii="Arial" w:eastAsia="Times New Roman" w:hAnsi="Arial" w:cs="Arial"/>
          <w:lang w:eastAsia="hu-HU"/>
        </w:rPr>
      </w:pPr>
    </w:p>
    <w:p w:rsidR="00B45D52" w:rsidRPr="00010EBB" w:rsidRDefault="00B45D52" w:rsidP="00112AA4">
      <w:pPr>
        <w:contextualSpacing/>
        <w:jc w:val="both"/>
        <w:rPr>
          <w:rFonts w:ascii="Arial" w:eastAsia="Times New Roman" w:hAnsi="Arial" w:cs="Arial"/>
          <w:lang w:eastAsia="hu-HU"/>
        </w:rPr>
      </w:pPr>
      <w:r w:rsidRPr="00010EBB">
        <w:rPr>
          <w:rFonts w:ascii="Arial" w:eastAsia="Times New Roman" w:hAnsi="Arial" w:cs="Arial"/>
          <w:lang w:eastAsia="hu-HU"/>
        </w:rPr>
        <w:t>Adó- és értékbizonyítványt akkor lehet kiállítani, ha felhasználását jogszabály kötelezővé teszi, vagy szükségességét az ügyfél valószínűsíti. Tartalmát az ellenkező bizonyításáig mindenki köteles elfogadni. </w:t>
      </w:r>
    </w:p>
    <w:p w:rsidR="00974D54" w:rsidRPr="00010EBB" w:rsidRDefault="004E27EE" w:rsidP="00112AA4">
      <w:pPr>
        <w:contextualSpacing/>
        <w:jc w:val="both"/>
        <w:rPr>
          <w:rFonts w:ascii="Arial" w:hAnsi="Arial" w:cs="Arial"/>
        </w:rPr>
      </w:pPr>
      <w:r w:rsidRPr="00010EBB">
        <w:rPr>
          <w:rFonts w:ascii="Arial" w:hAnsi="Arial" w:cs="Arial"/>
        </w:rPr>
        <w:t>A</w:t>
      </w:r>
      <w:r w:rsidR="003315D9" w:rsidRPr="00010EBB">
        <w:rPr>
          <w:rFonts w:ascii="Arial" w:hAnsi="Arial" w:cs="Arial"/>
        </w:rPr>
        <w:t xml:space="preserve"> hagyatéki eljárásról szóló 2010. évi XXXVIII. törvény 26. § (1a) rendelkezése alapján</w:t>
      </w:r>
      <w:r w:rsidRPr="00010EBB">
        <w:rPr>
          <w:rFonts w:ascii="Arial" w:hAnsi="Arial" w:cs="Arial"/>
        </w:rPr>
        <w:t xml:space="preserve"> 2020. február 1. napjától Kizárólag hagyatéki eljárással összefüggésben kiállított adó- és értékbizonyítvánnyal összefüggésben az öröklésben érdekeltek fellebbezéssel élhetnek.</w:t>
      </w:r>
    </w:p>
    <w:p w:rsidR="006C6020" w:rsidRDefault="006C6020" w:rsidP="00112AA4">
      <w:pPr>
        <w:contextualSpacing/>
        <w:jc w:val="both"/>
        <w:rPr>
          <w:rFonts w:ascii="Arial" w:eastAsia="Times New Roman" w:hAnsi="Arial" w:cs="Arial"/>
          <w:lang w:eastAsia="hu-HU"/>
        </w:rPr>
      </w:pPr>
    </w:p>
    <w:p w:rsidR="00B45D52" w:rsidRPr="00010EBB" w:rsidRDefault="00B45D52" w:rsidP="00112AA4">
      <w:pPr>
        <w:contextualSpacing/>
        <w:jc w:val="both"/>
        <w:rPr>
          <w:rFonts w:ascii="Arial" w:eastAsia="Times New Roman" w:hAnsi="Arial" w:cs="Arial"/>
          <w:lang w:eastAsia="hu-HU"/>
        </w:rPr>
      </w:pPr>
      <w:r w:rsidRPr="00010EBB">
        <w:rPr>
          <w:rFonts w:ascii="Arial" w:eastAsia="Times New Roman" w:hAnsi="Arial" w:cs="Arial"/>
          <w:lang w:eastAsia="hu-HU"/>
        </w:rPr>
        <w:t xml:space="preserve">Nem adható ki </w:t>
      </w:r>
      <w:r w:rsidR="006341B7" w:rsidRPr="00010EBB">
        <w:rPr>
          <w:rFonts w:ascii="Arial" w:eastAsia="Times New Roman" w:hAnsi="Arial" w:cs="Arial"/>
          <w:lang w:eastAsia="hu-HU"/>
        </w:rPr>
        <w:t>bizonyítvány,</w:t>
      </w:r>
      <w:r w:rsidRPr="00010EBB">
        <w:rPr>
          <w:rFonts w:ascii="Arial" w:eastAsia="Times New Roman" w:hAnsi="Arial" w:cs="Arial"/>
          <w:lang w:eastAsia="hu-HU"/>
        </w:rPr>
        <w:t xml:space="preserve"> ha:</w:t>
      </w:r>
    </w:p>
    <w:p w:rsidR="00B45D52" w:rsidRPr="00010EBB" w:rsidRDefault="00B45D52" w:rsidP="00112AA4">
      <w:pPr>
        <w:numPr>
          <w:ilvl w:val="0"/>
          <w:numId w:val="18"/>
        </w:numPr>
        <w:tabs>
          <w:tab w:val="clear" w:pos="720"/>
          <w:tab w:val="num" w:pos="284"/>
        </w:tabs>
        <w:ind w:left="0" w:firstLine="0"/>
        <w:contextualSpacing/>
        <w:jc w:val="both"/>
        <w:rPr>
          <w:rFonts w:ascii="Arial" w:eastAsia="Times New Roman" w:hAnsi="Arial" w:cs="Arial"/>
          <w:lang w:eastAsia="hu-HU"/>
        </w:rPr>
      </w:pPr>
      <w:r w:rsidRPr="00010EBB">
        <w:rPr>
          <w:rFonts w:ascii="Arial" w:eastAsia="Times New Roman" w:hAnsi="Arial" w:cs="Arial"/>
          <w:lang w:eastAsia="hu-HU"/>
        </w:rPr>
        <w:t>kiadása jogszabályba ütközik,</w:t>
      </w:r>
    </w:p>
    <w:p w:rsidR="00B45D52" w:rsidRPr="00010EBB" w:rsidRDefault="00B45D52" w:rsidP="00112AA4">
      <w:pPr>
        <w:numPr>
          <w:ilvl w:val="0"/>
          <w:numId w:val="18"/>
        </w:numPr>
        <w:tabs>
          <w:tab w:val="clear" w:pos="720"/>
          <w:tab w:val="num" w:pos="284"/>
        </w:tabs>
        <w:ind w:left="0" w:firstLine="0"/>
        <w:contextualSpacing/>
        <w:jc w:val="both"/>
        <w:rPr>
          <w:rFonts w:ascii="Arial" w:eastAsia="Times New Roman" w:hAnsi="Arial" w:cs="Arial"/>
          <w:lang w:eastAsia="hu-HU"/>
        </w:rPr>
      </w:pPr>
      <w:r w:rsidRPr="00010EBB">
        <w:rPr>
          <w:rFonts w:ascii="Arial" w:eastAsia="Times New Roman" w:hAnsi="Arial" w:cs="Arial"/>
          <w:lang w:eastAsia="hu-HU"/>
        </w:rPr>
        <w:t>az igazolni kívánt tény, állapot vagy egyéb adat más okirattal bizonyítható,</w:t>
      </w:r>
    </w:p>
    <w:p w:rsidR="00B45D52" w:rsidRPr="00010EBB" w:rsidRDefault="00B45D52" w:rsidP="00112AA4">
      <w:pPr>
        <w:numPr>
          <w:ilvl w:val="0"/>
          <w:numId w:val="18"/>
        </w:numPr>
        <w:tabs>
          <w:tab w:val="clear" w:pos="720"/>
          <w:tab w:val="num" w:pos="284"/>
        </w:tabs>
        <w:ind w:left="0" w:firstLine="0"/>
        <w:contextualSpacing/>
        <w:jc w:val="both"/>
        <w:rPr>
          <w:rFonts w:ascii="Arial" w:eastAsia="Times New Roman" w:hAnsi="Arial" w:cs="Arial"/>
          <w:lang w:eastAsia="hu-HU"/>
        </w:rPr>
      </w:pPr>
      <w:r w:rsidRPr="00010EBB">
        <w:rPr>
          <w:rFonts w:ascii="Arial" w:eastAsia="Times New Roman" w:hAnsi="Arial" w:cs="Arial"/>
          <w:lang w:eastAsia="hu-HU"/>
        </w:rPr>
        <w:t>az ügyfél a hatósági bizonyítvány felhasználásának célját nem jelöli meg, vagy</w:t>
      </w:r>
    </w:p>
    <w:p w:rsidR="00B45D52" w:rsidRPr="00010EBB" w:rsidRDefault="00B45D52" w:rsidP="00112AA4">
      <w:pPr>
        <w:numPr>
          <w:ilvl w:val="0"/>
          <w:numId w:val="18"/>
        </w:numPr>
        <w:tabs>
          <w:tab w:val="clear" w:pos="720"/>
          <w:tab w:val="num" w:pos="284"/>
        </w:tabs>
        <w:ind w:left="0" w:firstLine="0"/>
        <w:contextualSpacing/>
        <w:jc w:val="both"/>
        <w:rPr>
          <w:rFonts w:ascii="Arial" w:eastAsia="Times New Roman" w:hAnsi="Arial" w:cs="Arial"/>
          <w:lang w:eastAsia="hu-HU"/>
        </w:rPr>
      </w:pPr>
      <w:r w:rsidRPr="00010EBB">
        <w:rPr>
          <w:rFonts w:ascii="Arial" w:eastAsia="Times New Roman" w:hAnsi="Arial" w:cs="Arial"/>
          <w:lang w:eastAsia="hu-HU"/>
        </w:rPr>
        <w:t>szükségességét nem tudja valószínűsíteni, vagy valótlan adat, tény, állapot igazolását kéri.</w:t>
      </w:r>
    </w:p>
    <w:p w:rsidR="00963B1E" w:rsidRPr="00010EBB" w:rsidRDefault="00963B1E" w:rsidP="00112AA4">
      <w:pPr>
        <w:contextualSpacing/>
        <w:jc w:val="both"/>
        <w:rPr>
          <w:rFonts w:ascii="Arial" w:eastAsia="Times New Roman" w:hAnsi="Arial" w:cs="Arial"/>
          <w:lang w:eastAsia="hu-HU"/>
        </w:rPr>
      </w:pPr>
    </w:p>
    <w:p w:rsidR="00B45D52" w:rsidRPr="00010EBB" w:rsidRDefault="00B45D52" w:rsidP="00112AA4">
      <w:pPr>
        <w:contextualSpacing/>
        <w:jc w:val="both"/>
        <w:outlineLvl w:val="4"/>
        <w:rPr>
          <w:rFonts w:ascii="Arial" w:eastAsia="Times New Roman" w:hAnsi="Arial" w:cs="Arial"/>
          <w:bCs/>
          <w:lang w:eastAsia="hu-HU"/>
        </w:rPr>
      </w:pPr>
      <w:r w:rsidRPr="00010EBB">
        <w:rPr>
          <w:rFonts w:ascii="Arial" w:eastAsia="Times New Roman" w:hAnsi="Arial" w:cs="Arial"/>
          <w:bCs/>
          <w:lang w:eastAsia="hu-HU"/>
        </w:rPr>
        <w:t>A kiállított adó- és értékbizonyítvány tartalmazza:</w:t>
      </w:r>
    </w:p>
    <w:p w:rsidR="00B45D52" w:rsidRPr="00010EBB" w:rsidRDefault="00B45D52" w:rsidP="00112AA4">
      <w:pPr>
        <w:numPr>
          <w:ilvl w:val="0"/>
          <w:numId w:val="19"/>
        </w:numPr>
        <w:tabs>
          <w:tab w:val="clear" w:pos="720"/>
          <w:tab w:val="num" w:pos="284"/>
        </w:tabs>
        <w:ind w:left="0" w:firstLine="0"/>
        <w:contextualSpacing/>
        <w:rPr>
          <w:rFonts w:ascii="Arial" w:eastAsia="Times New Roman" w:hAnsi="Arial" w:cs="Arial"/>
          <w:lang w:eastAsia="hu-HU"/>
        </w:rPr>
      </w:pPr>
      <w:r w:rsidRPr="00010EBB">
        <w:rPr>
          <w:rFonts w:ascii="Arial" w:eastAsia="Times New Roman" w:hAnsi="Arial" w:cs="Arial"/>
          <w:lang w:eastAsia="hu-HU"/>
        </w:rPr>
        <w:t>az ingatlan és az ingatlanszerzők (tulajdonosok) adatait,</w:t>
      </w:r>
    </w:p>
    <w:p w:rsidR="00B45D52" w:rsidRPr="00010EBB" w:rsidRDefault="00B45D52" w:rsidP="00112AA4">
      <w:pPr>
        <w:numPr>
          <w:ilvl w:val="0"/>
          <w:numId w:val="19"/>
        </w:numPr>
        <w:tabs>
          <w:tab w:val="clear" w:pos="720"/>
          <w:tab w:val="num" w:pos="284"/>
        </w:tabs>
        <w:ind w:left="0" w:firstLine="0"/>
        <w:contextualSpacing/>
        <w:rPr>
          <w:rFonts w:ascii="Arial" w:eastAsia="Times New Roman" w:hAnsi="Arial" w:cs="Arial"/>
          <w:lang w:eastAsia="hu-HU"/>
        </w:rPr>
      </w:pPr>
      <w:r w:rsidRPr="00010EBB">
        <w:rPr>
          <w:rFonts w:ascii="Arial" w:eastAsia="Times New Roman" w:hAnsi="Arial" w:cs="Arial"/>
          <w:lang w:eastAsia="hu-HU"/>
        </w:rPr>
        <w:t>az érték megállapításánál figyelembe vett tényezőket, továbbá</w:t>
      </w:r>
    </w:p>
    <w:p w:rsidR="00B45D52" w:rsidRPr="00010EBB" w:rsidRDefault="00B45D52" w:rsidP="00112AA4">
      <w:pPr>
        <w:numPr>
          <w:ilvl w:val="0"/>
          <w:numId w:val="19"/>
        </w:numPr>
        <w:tabs>
          <w:tab w:val="clear" w:pos="720"/>
          <w:tab w:val="num" w:pos="284"/>
        </w:tabs>
        <w:ind w:left="0" w:firstLine="0"/>
        <w:contextualSpacing/>
        <w:rPr>
          <w:rFonts w:ascii="Times New Roman" w:eastAsia="Times New Roman" w:hAnsi="Times New Roman"/>
          <w:sz w:val="24"/>
          <w:szCs w:val="24"/>
          <w:lang w:eastAsia="hu-HU"/>
        </w:rPr>
      </w:pPr>
      <w:r w:rsidRPr="00010EBB">
        <w:rPr>
          <w:rFonts w:ascii="Arial" w:eastAsia="Times New Roman" w:hAnsi="Arial" w:cs="Arial"/>
          <w:lang w:eastAsia="hu-HU"/>
        </w:rPr>
        <w:t>az ingatlannak az adott időpontban fennálló forgalmi értékét</w:t>
      </w:r>
      <w:r w:rsidRPr="00010EBB">
        <w:rPr>
          <w:rFonts w:ascii="Times New Roman" w:eastAsia="Times New Roman" w:hAnsi="Times New Roman"/>
          <w:sz w:val="24"/>
          <w:szCs w:val="24"/>
          <w:lang w:eastAsia="hu-HU"/>
        </w:rPr>
        <w:t>.</w:t>
      </w:r>
    </w:p>
    <w:p w:rsidR="00963B1E" w:rsidRPr="00010EBB" w:rsidRDefault="00963B1E" w:rsidP="00112AA4">
      <w:pPr>
        <w:contextualSpacing/>
        <w:rPr>
          <w:rFonts w:ascii="Times New Roman" w:eastAsia="Times New Roman" w:hAnsi="Times New Roman"/>
          <w:sz w:val="24"/>
          <w:szCs w:val="24"/>
          <w:lang w:eastAsia="hu-HU"/>
        </w:rPr>
      </w:pPr>
    </w:p>
    <w:p w:rsidR="00B45D52" w:rsidRPr="00010EBB" w:rsidRDefault="00B45D52" w:rsidP="00112AA4">
      <w:pPr>
        <w:contextualSpacing/>
        <w:jc w:val="both"/>
        <w:rPr>
          <w:rFonts w:ascii="Arial" w:eastAsia="Times New Roman" w:hAnsi="Arial" w:cs="Arial"/>
          <w:lang w:eastAsia="hu-HU"/>
        </w:rPr>
      </w:pPr>
      <w:r w:rsidRPr="00010EBB">
        <w:rPr>
          <w:rFonts w:ascii="Arial" w:eastAsia="Times New Roman" w:hAnsi="Arial" w:cs="Arial"/>
          <w:lang w:eastAsia="hu-HU"/>
        </w:rPr>
        <w:t xml:space="preserve">Az ingatlanpiac tényadataihoz, a becsült érték táblázathoz </w:t>
      </w:r>
      <w:r w:rsidR="00974D54" w:rsidRPr="00010EBB">
        <w:rPr>
          <w:rFonts w:ascii="Arial" w:eastAsia="Times New Roman" w:hAnsi="Arial" w:cs="Arial"/>
          <w:lang w:eastAsia="hu-HU"/>
        </w:rPr>
        <w:t>a NAV Illetékhivatala</w:t>
      </w:r>
      <w:r w:rsidR="008815CC" w:rsidRPr="00010EBB">
        <w:rPr>
          <w:rFonts w:ascii="Arial" w:eastAsia="Times New Roman" w:hAnsi="Arial" w:cs="Arial"/>
          <w:color w:val="FF0000"/>
          <w:lang w:eastAsia="hu-HU"/>
        </w:rPr>
        <w:t xml:space="preserve"> </w:t>
      </w:r>
      <w:r w:rsidRPr="00010EBB">
        <w:rPr>
          <w:rFonts w:ascii="Arial" w:eastAsia="Times New Roman" w:hAnsi="Arial" w:cs="Arial"/>
          <w:lang w:eastAsia="hu-HU"/>
        </w:rPr>
        <w:t>szolgáltat alapot. Azonban az ingatlan reális érték</w:t>
      </w:r>
      <w:r w:rsidR="008815CC" w:rsidRPr="00010EBB">
        <w:rPr>
          <w:rFonts w:ascii="Arial" w:eastAsia="Times New Roman" w:hAnsi="Arial" w:cs="Arial"/>
          <w:lang w:eastAsia="hu-HU"/>
        </w:rPr>
        <w:t>ének</w:t>
      </w:r>
      <w:r w:rsidRPr="00010EBB">
        <w:rPr>
          <w:rFonts w:ascii="Arial" w:eastAsia="Times New Roman" w:hAnsi="Arial" w:cs="Arial"/>
          <w:lang w:eastAsia="hu-HU"/>
        </w:rPr>
        <w:t xml:space="preserve"> megállapításához állapotfelmérés, helyszíni szemle szükséges, </w:t>
      </w:r>
      <w:r w:rsidR="008815CC" w:rsidRPr="00010EBB">
        <w:rPr>
          <w:rFonts w:ascii="Arial" w:eastAsia="Times New Roman" w:hAnsi="Arial" w:cs="Arial"/>
          <w:lang w:eastAsia="hu-HU"/>
        </w:rPr>
        <w:t xml:space="preserve">amelyre a </w:t>
      </w:r>
      <w:r w:rsidRPr="00010EBB">
        <w:rPr>
          <w:rFonts w:ascii="Arial" w:eastAsia="Times New Roman" w:hAnsi="Arial" w:cs="Arial"/>
          <w:lang w:eastAsia="hu-HU"/>
        </w:rPr>
        <w:t>tulajdonossal történő</w:t>
      </w:r>
      <w:r w:rsidR="008815CC" w:rsidRPr="00010EBB">
        <w:rPr>
          <w:rFonts w:ascii="Arial" w:eastAsia="Times New Roman" w:hAnsi="Arial" w:cs="Arial"/>
          <w:lang w:eastAsia="hu-HU"/>
        </w:rPr>
        <w:t xml:space="preserve"> előzetes</w:t>
      </w:r>
      <w:r w:rsidRPr="00010EBB">
        <w:rPr>
          <w:rFonts w:ascii="Arial" w:eastAsia="Times New Roman" w:hAnsi="Arial" w:cs="Arial"/>
          <w:lang w:eastAsia="hu-HU"/>
        </w:rPr>
        <w:t xml:space="preserve"> egyeztetéssel </w:t>
      </w:r>
      <w:r w:rsidR="008815CC" w:rsidRPr="00010EBB">
        <w:rPr>
          <w:rFonts w:ascii="Arial" w:eastAsia="Times New Roman" w:hAnsi="Arial" w:cs="Arial"/>
          <w:lang w:eastAsia="hu-HU"/>
        </w:rPr>
        <w:t>kerül sor.</w:t>
      </w:r>
      <w:r w:rsidRPr="00010EBB">
        <w:rPr>
          <w:rFonts w:ascii="Times New Roman" w:eastAsia="Times New Roman" w:hAnsi="Times New Roman"/>
          <w:sz w:val="24"/>
          <w:szCs w:val="24"/>
          <w:lang w:eastAsia="hu-HU"/>
        </w:rPr>
        <w:t xml:space="preserve"> </w:t>
      </w:r>
      <w:r w:rsidRPr="00010EBB">
        <w:rPr>
          <w:rFonts w:ascii="Arial" w:hAnsi="Arial" w:cs="Arial"/>
        </w:rPr>
        <w:t xml:space="preserve">A helyszíni szemlével kapcsolatos eljárás jelentős többletmunkát jelent az adóügyi dolgozók esetében. </w:t>
      </w:r>
      <w:r w:rsidRPr="00010EBB">
        <w:rPr>
          <w:rFonts w:ascii="Arial" w:eastAsia="Times New Roman" w:hAnsi="Arial" w:cs="Arial"/>
          <w:lang w:eastAsia="hu-HU"/>
        </w:rPr>
        <w:t>Sokszor az adatgyűjtés is nehéz a zártkerti, külterületi ingatlanoknál.</w:t>
      </w:r>
    </w:p>
    <w:p w:rsidR="00B45D52" w:rsidRPr="00010EBB" w:rsidRDefault="00B45D52" w:rsidP="00112AA4">
      <w:pPr>
        <w:contextualSpacing/>
        <w:jc w:val="both"/>
        <w:rPr>
          <w:rFonts w:ascii="Arial" w:hAnsi="Arial" w:cs="Arial"/>
        </w:rPr>
      </w:pPr>
    </w:p>
    <w:p w:rsidR="00B45D52" w:rsidRDefault="00B45D52" w:rsidP="00112AA4">
      <w:pPr>
        <w:contextualSpacing/>
        <w:jc w:val="both"/>
        <w:rPr>
          <w:rFonts w:ascii="Arial" w:hAnsi="Arial" w:cs="Arial"/>
          <w:color w:val="0070C0"/>
        </w:rPr>
      </w:pPr>
      <w:r w:rsidRPr="00693687">
        <w:rPr>
          <w:rFonts w:ascii="Arial" w:hAnsi="Arial" w:cs="Arial"/>
        </w:rPr>
        <w:t>Adó-és értékbizonyítvány</w:t>
      </w:r>
      <w:r w:rsidRPr="00693687">
        <w:rPr>
          <w:rFonts w:ascii="Arial" w:hAnsi="Arial" w:cs="Arial"/>
          <w:b/>
        </w:rPr>
        <w:t xml:space="preserve"> kiadására </w:t>
      </w:r>
      <w:r w:rsidR="00363037" w:rsidRPr="00693687">
        <w:rPr>
          <w:rFonts w:ascii="Arial" w:hAnsi="Arial" w:cs="Arial"/>
          <w:b/>
        </w:rPr>
        <w:t>202</w:t>
      </w:r>
      <w:r w:rsidR="00693687" w:rsidRPr="00693687">
        <w:rPr>
          <w:rFonts w:ascii="Arial" w:hAnsi="Arial" w:cs="Arial"/>
          <w:b/>
        </w:rPr>
        <w:t>1</w:t>
      </w:r>
      <w:r w:rsidR="00363037" w:rsidRPr="00693687">
        <w:rPr>
          <w:rFonts w:ascii="Arial" w:hAnsi="Arial" w:cs="Arial"/>
          <w:b/>
        </w:rPr>
        <w:t xml:space="preserve">. </w:t>
      </w:r>
      <w:r w:rsidRPr="00693687">
        <w:rPr>
          <w:rFonts w:ascii="Arial" w:hAnsi="Arial" w:cs="Arial"/>
          <w:b/>
        </w:rPr>
        <w:t xml:space="preserve">évben </w:t>
      </w:r>
      <w:r w:rsidR="00693687" w:rsidRPr="00693687">
        <w:rPr>
          <w:rFonts w:ascii="Arial" w:hAnsi="Arial" w:cs="Arial"/>
          <w:b/>
        </w:rPr>
        <w:t xml:space="preserve">154 </w:t>
      </w:r>
      <w:r w:rsidRPr="00693687">
        <w:rPr>
          <w:rFonts w:ascii="Arial" w:hAnsi="Arial" w:cs="Arial"/>
          <w:b/>
        </w:rPr>
        <w:t xml:space="preserve">esetben került sor, </w:t>
      </w:r>
      <w:r w:rsidR="006341B7" w:rsidRPr="00693687">
        <w:rPr>
          <w:rFonts w:ascii="Arial" w:hAnsi="Arial" w:cs="Arial"/>
        </w:rPr>
        <w:t>melyet -</w:t>
      </w:r>
      <w:r w:rsidR="00363037" w:rsidRPr="00693687">
        <w:rPr>
          <w:rFonts w:ascii="Arial" w:hAnsi="Arial" w:cs="Arial"/>
        </w:rPr>
        <w:t xml:space="preserve"> lehetőség szerint - </w:t>
      </w:r>
      <w:r w:rsidRPr="00693687">
        <w:rPr>
          <w:rFonts w:ascii="Arial" w:hAnsi="Arial" w:cs="Arial"/>
        </w:rPr>
        <w:t>megelőzött helyszíni szemle és felmérés</w:t>
      </w:r>
      <w:r w:rsidRPr="00693687">
        <w:rPr>
          <w:rFonts w:ascii="Arial" w:hAnsi="Arial" w:cs="Arial"/>
          <w:color w:val="0070C0"/>
        </w:rPr>
        <w:t xml:space="preserve">. </w:t>
      </w:r>
    </w:p>
    <w:p w:rsidR="001E5EA2" w:rsidRPr="00693687" w:rsidRDefault="001E5EA2" w:rsidP="00112AA4">
      <w:pPr>
        <w:contextualSpacing/>
        <w:jc w:val="both"/>
        <w:rPr>
          <w:rFonts w:ascii="Arial" w:hAnsi="Arial" w:cs="Arial"/>
          <w:color w:val="0070C0"/>
        </w:rPr>
      </w:pPr>
    </w:p>
    <w:bookmarkEnd w:id="4"/>
    <w:p w:rsidR="003205C7" w:rsidRPr="00112AA4" w:rsidRDefault="003205C7" w:rsidP="00112AA4">
      <w:pPr>
        <w:pStyle w:val="Listaszerbekezds"/>
        <w:numPr>
          <w:ilvl w:val="0"/>
          <w:numId w:val="1"/>
        </w:numPr>
        <w:autoSpaceDE w:val="0"/>
        <w:autoSpaceDN w:val="0"/>
        <w:adjustRightInd w:val="0"/>
        <w:spacing w:after="0"/>
        <w:jc w:val="both"/>
        <w:rPr>
          <w:rFonts w:ascii="Arial" w:hAnsi="Arial" w:cs="Arial"/>
          <w:b/>
        </w:rPr>
      </w:pPr>
      <w:r w:rsidRPr="00112AA4">
        <w:rPr>
          <w:rFonts w:ascii="Arial" w:hAnsi="Arial" w:cs="Arial"/>
          <w:b/>
        </w:rPr>
        <w:t>Hátralékok csökkentésére tett intézkedések</w:t>
      </w:r>
    </w:p>
    <w:p w:rsidR="003205C7" w:rsidRPr="00ED655B" w:rsidRDefault="003205C7" w:rsidP="003205C7">
      <w:pPr>
        <w:autoSpaceDE w:val="0"/>
        <w:autoSpaceDN w:val="0"/>
        <w:adjustRightInd w:val="0"/>
        <w:spacing w:after="0"/>
        <w:jc w:val="both"/>
        <w:rPr>
          <w:rFonts w:ascii="Arial" w:hAnsi="Arial" w:cs="Arial"/>
          <w:b/>
        </w:rPr>
      </w:pPr>
    </w:p>
    <w:p w:rsidR="003205C7" w:rsidRPr="00ED655B" w:rsidRDefault="003205C7" w:rsidP="00112AA4">
      <w:pPr>
        <w:contextualSpacing/>
        <w:jc w:val="both"/>
        <w:rPr>
          <w:rFonts w:ascii="Arial" w:hAnsi="Arial" w:cs="Arial"/>
        </w:rPr>
      </w:pPr>
      <w:r w:rsidRPr="00ED655B">
        <w:rPr>
          <w:rFonts w:ascii="Arial" w:hAnsi="Arial" w:cs="Arial"/>
        </w:rPr>
        <w:t>Az adóigazgatási eljárás szabályai mellett, 2018. január 1-jétől jelentősen megváltoztak a követeléskezelésre és végrehajtásra vonatkozó szabályok is. Az önkormányzati adóhatósági végrehajtásnál, az adóhatóság által foganatosítandó végrehajtási eljárásokról szóló 2017. évi CLIII. törvény (</w:t>
      </w:r>
      <w:proofErr w:type="spellStart"/>
      <w:r w:rsidRPr="00ED655B">
        <w:rPr>
          <w:rFonts w:ascii="Arial" w:hAnsi="Arial" w:cs="Arial"/>
        </w:rPr>
        <w:t>Avt</w:t>
      </w:r>
      <w:proofErr w:type="spellEnd"/>
      <w:r w:rsidRPr="00ED655B">
        <w:rPr>
          <w:rFonts w:ascii="Arial" w:hAnsi="Arial" w:cs="Arial"/>
        </w:rPr>
        <w:t>.), az adóigazgatási rendtartásról szóló 2017. évi CLI. törvény (Air.), az adózás rendjéről szóló 2017. évi CL. törvény (Art.), a bírósági végrehajtásról szóló 1994. évi LIII. törvény (</w:t>
      </w:r>
      <w:proofErr w:type="spellStart"/>
      <w:r w:rsidRPr="00ED655B">
        <w:rPr>
          <w:rFonts w:ascii="Arial" w:hAnsi="Arial" w:cs="Arial"/>
        </w:rPr>
        <w:t>Vht</w:t>
      </w:r>
      <w:proofErr w:type="spellEnd"/>
      <w:r w:rsidRPr="00ED655B">
        <w:rPr>
          <w:rFonts w:ascii="Arial" w:hAnsi="Arial" w:cs="Arial"/>
        </w:rPr>
        <w:t xml:space="preserve">.) szabályait kell figyelembe venni. </w:t>
      </w:r>
    </w:p>
    <w:p w:rsidR="003205C7" w:rsidRPr="00ED655B" w:rsidRDefault="003205C7" w:rsidP="00112AA4">
      <w:pPr>
        <w:contextualSpacing/>
        <w:rPr>
          <w:rFonts w:ascii="Arial" w:hAnsi="Arial" w:cs="Arial"/>
        </w:rPr>
      </w:pPr>
    </w:p>
    <w:p w:rsidR="003205C7" w:rsidRPr="00ED655B" w:rsidRDefault="003205C7" w:rsidP="00112AA4">
      <w:pPr>
        <w:autoSpaceDE w:val="0"/>
        <w:autoSpaceDN w:val="0"/>
        <w:adjustRightInd w:val="0"/>
        <w:contextualSpacing/>
        <w:jc w:val="both"/>
        <w:rPr>
          <w:rFonts w:ascii="Arial" w:hAnsi="Arial" w:cs="Arial"/>
        </w:rPr>
      </w:pPr>
      <w:r w:rsidRPr="00ED655B">
        <w:rPr>
          <w:rFonts w:ascii="Arial" w:hAnsi="Arial" w:cs="Arial"/>
        </w:rPr>
        <w:t xml:space="preserve">Az önkormányzat elsődleges érdeke, hogy hozzájusson az őt megillető adóbevételekhez. A hátralék és követeléskezelés egyre fontosabb részét képezi az adóigazgatási munkának. Adóhatóságunk törvényes eszközökkel kényszeríti a hátralékos adózókat adótartozásuk megfizetésére, mely nem könnyű feladat.  A végrehajtási munka során jogos elvárás az eredményesség mellett, hogy áttekinthető, támogató és méltányos legyen. Az adóhatóság </w:t>
      </w:r>
      <w:r w:rsidRPr="00ED655B">
        <w:rPr>
          <w:rFonts w:ascii="Arial" w:hAnsi="Arial" w:cs="Arial"/>
        </w:rPr>
        <w:lastRenderedPageBreak/>
        <w:t>munkájának két jól elkülönülő része a hátralékkezelés, valamint a tényleges végrehajtási cselekmények foganatosítása. Nagyságukból eredően is, kiemelkedő figyelmet fordít adóhatóságunk a nagy összegű adótartozással rendelkezőkre.</w:t>
      </w:r>
    </w:p>
    <w:p w:rsidR="003205C7" w:rsidRPr="00ED655B" w:rsidRDefault="003205C7" w:rsidP="00112AA4">
      <w:pPr>
        <w:contextualSpacing/>
        <w:rPr>
          <w:rFonts w:ascii="Arial" w:hAnsi="Arial" w:cs="Arial"/>
        </w:rPr>
      </w:pPr>
    </w:p>
    <w:p w:rsidR="003205C7" w:rsidRPr="00ED655B" w:rsidRDefault="003205C7" w:rsidP="00112AA4">
      <w:pPr>
        <w:contextualSpacing/>
        <w:jc w:val="both"/>
        <w:rPr>
          <w:rFonts w:ascii="Arial" w:hAnsi="Arial" w:cs="Arial"/>
        </w:rPr>
      </w:pPr>
      <w:proofErr w:type="spellStart"/>
      <w:r w:rsidRPr="00ED655B">
        <w:rPr>
          <w:rFonts w:ascii="Arial" w:hAnsi="Arial" w:cs="Arial"/>
        </w:rPr>
        <w:t>Mindazokkal</w:t>
      </w:r>
      <w:proofErr w:type="spellEnd"/>
      <w:r w:rsidRPr="00ED655B">
        <w:rPr>
          <w:rFonts w:ascii="Arial" w:hAnsi="Arial" w:cs="Arial"/>
        </w:rPr>
        <w:t xml:space="preserve"> szemben, akik önként nem teljesítik fizetési kötelezettségeiket, és hátralékot halmoznak fel, az önkormányzati adóhatóság a törvényes eszközök széles körének alkalmazásával következetesen lép fel.</w:t>
      </w:r>
    </w:p>
    <w:p w:rsidR="003205C7" w:rsidRPr="003A1834" w:rsidRDefault="003205C7" w:rsidP="00112AA4">
      <w:pPr>
        <w:autoSpaceDE w:val="0"/>
        <w:autoSpaceDN w:val="0"/>
        <w:adjustRightInd w:val="0"/>
        <w:contextualSpacing/>
        <w:jc w:val="both"/>
        <w:rPr>
          <w:rFonts w:ascii="Arial" w:hAnsi="Arial" w:cs="Arial"/>
          <w:highlight w:val="yellow"/>
        </w:rPr>
      </w:pPr>
    </w:p>
    <w:p w:rsidR="003205C7" w:rsidRDefault="003205C7" w:rsidP="00112AA4">
      <w:pPr>
        <w:autoSpaceDE w:val="0"/>
        <w:autoSpaceDN w:val="0"/>
        <w:adjustRightInd w:val="0"/>
        <w:contextualSpacing/>
        <w:jc w:val="both"/>
        <w:rPr>
          <w:rFonts w:ascii="Arial" w:hAnsi="Arial" w:cs="Arial"/>
        </w:rPr>
      </w:pPr>
      <w:r w:rsidRPr="00955706">
        <w:rPr>
          <w:rFonts w:ascii="Arial" w:hAnsi="Arial" w:cs="Arial"/>
        </w:rPr>
        <w:t xml:space="preserve">Az elmúlt évek gyakorlatához hasonlóan, továbbra is igyekszünk </w:t>
      </w:r>
      <w:r w:rsidR="00EA475A" w:rsidRPr="0042251B">
        <w:rPr>
          <w:rFonts w:ascii="Arial" w:hAnsi="Arial" w:cs="Arial"/>
        </w:rPr>
        <w:t>méltányosan</w:t>
      </w:r>
      <w:r w:rsidRPr="00955706">
        <w:rPr>
          <w:rFonts w:ascii="Arial" w:hAnsi="Arial" w:cs="Arial"/>
        </w:rPr>
        <w:t xml:space="preserve"> kezelni az adózó</w:t>
      </w:r>
      <w:r w:rsidR="00EA475A">
        <w:rPr>
          <w:rFonts w:ascii="Arial" w:hAnsi="Arial" w:cs="Arial"/>
        </w:rPr>
        <w:t>k</w:t>
      </w:r>
      <w:r w:rsidRPr="00955706">
        <w:rPr>
          <w:rFonts w:ascii="Arial" w:hAnsi="Arial" w:cs="Arial"/>
        </w:rPr>
        <w:t xml:space="preserve"> fizetési problémáit. Fontosnak tartjuk az adózóval való személyes kapcsolatfelvételt, melynek eredményeként 8 811 279,- Ft került megfizetésre.   </w:t>
      </w:r>
    </w:p>
    <w:p w:rsidR="00112AA4" w:rsidRPr="00955706" w:rsidRDefault="00112AA4" w:rsidP="00112AA4">
      <w:pPr>
        <w:autoSpaceDE w:val="0"/>
        <w:autoSpaceDN w:val="0"/>
        <w:adjustRightInd w:val="0"/>
        <w:contextualSpacing/>
        <w:jc w:val="both"/>
        <w:rPr>
          <w:rFonts w:ascii="Arial" w:hAnsi="Arial" w:cs="Arial"/>
        </w:rPr>
      </w:pPr>
    </w:p>
    <w:p w:rsidR="003205C7" w:rsidRPr="003A1834" w:rsidRDefault="003205C7" w:rsidP="003205C7">
      <w:pPr>
        <w:autoSpaceDE w:val="0"/>
        <w:autoSpaceDN w:val="0"/>
        <w:adjustRightInd w:val="0"/>
        <w:spacing w:after="0" w:line="240" w:lineRule="auto"/>
        <w:jc w:val="both"/>
        <w:rPr>
          <w:rFonts w:ascii="Arial" w:hAnsi="Arial" w:cs="Arial"/>
          <w:highlight w:val="yellow"/>
        </w:rPr>
      </w:pPr>
    </w:p>
    <w:tbl>
      <w:tblPr>
        <w:tblW w:w="9486" w:type="dxa"/>
        <w:tblCellMar>
          <w:left w:w="70" w:type="dxa"/>
          <w:right w:w="70" w:type="dxa"/>
        </w:tblCellMar>
        <w:tblLook w:val="04A0" w:firstRow="1" w:lastRow="0" w:firstColumn="1" w:lastColumn="0" w:noHBand="0" w:noVBand="1"/>
      </w:tblPr>
      <w:tblGrid>
        <w:gridCol w:w="5702"/>
        <w:gridCol w:w="3784"/>
      </w:tblGrid>
      <w:tr w:rsidR="003205C7" w:rsidRPr="003A1834" w:rsidTr="003205C7">
        <w:trPr>
          <w:trHeight w:val="298"/>
        </w:trPr>
        <w:tc>
          <w:tcPr>
            <w:tcW w:w="570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205C7" w:rsidRPr="00955706" w:rsidRDefault="003205C7" w:rsidP="003205C7">
            <w:pPr>
              <w:spacing w:after="0" w:line="240" w:lineRule="auto"/>
              <w:rPr>
                <w:rFonts w:ascii="Arial" w:eastAsia="Times New Roman" w:hAnsi="Arial" w:cs="Arial"/>
                <w:b/>
                <w:bCs/>
                <w:sz w:val="20"/>
                <w:szCs w:val="20"/>
                <w:lang w:eastAsia="hu-HU"/>
              </w:rPr>
            </w:pPr>
            <w:r w:rsidRPr="00955706">
              <w:rPr>
                <w:rFonts w:ascii="Arial" w:eastAsia="Times New Roman" w:hAnsi="Arial" w:cs="Arial"/>
                <w:b/>
                <w:bCs/>
                <w:sz w:val="20"/>
                <w:szCs w:val="20"/>
                <w:lang w:eastAsia="hu-HU"/>
              </w:rPr>
              <w:t xml:space="preserve">2021. </w:t>
            </w:r>
            <w:r w:rsidRPr="0042251B">
              <w:rPr>
                <w:rFonts w:ascii="Arial" w:eastAsia="Times New Roman" w:hAnsi="Arial" w:cs="Arial"/>
                <w:b/>
                <w:bCs/>
                <w:sz w:val="20"/>
                <w:szCs w:val="20"/>
                <w:lang w:eastAsia="hu-HU"/>
              </w:rPr>
              <w:t>a</w:t>
            </w:r>
            <w:r w:rsidR="00EA475A" w:rsidRPr="0042251B">
              <w:rPr>
                <w:rFonts w:ascii="Arial" w:eastAsia="Times New Roman" w:hAnsi="Arial" w:cs="Arial"/>
                <w:b/>
                <w:bCs/>
                <w:sz w:val="20"/>
                <w:szCs w:val="20"/>
                <w:lang w:eastAsia="hu-HU"/>
              </w:rPr>
              <w:t xml:space="preserve">dózói egyeztetések </w:t>
            </w:r>
            <w:r w:rsidRPr="0042251B">
              <w:rPr>
                <w:rFonts w:ascii="Arial" w:eastAsia="Times New Roman" w:hAnsi="Arial" w:cs="Arial"/>
                <w:b/>
                <w:bCs/>
                <w:sz w:val="20"/>
                <w:szCs w:val="20"/>
                <w:lang w:eastAsia="hu-HU"/>
              </w:rPr>
              <w:t>során befolyt:</w:t>
            </w:r>
          </w:p>
        </w:tc>
        <w:tc>
          <w:tcPr>
            <w:tcW w:w="3784" w:type="dxa"/>
            <w:tcBorders>
              <w:top w:val="single" w:sz="4" w:space="0" w:color="auto"/>
              <w:left w:val="nil"/>
              <w:bottom w:val="single" w:sz="4" w:space="0" w:color="auto"/>
              <w:right w:val="single" w:sz="4" w:space="0" w:color="auto"/>
            </w:tcBorders>
            <w:shd w:val="clear" w:color="000000" w:fill="FFFFFF"/>
            <w:noWrap/>
            <w:vAlign w:val="bottom"/>
            <w:hideMark/>
          </w:tcPr>
          <w:p w:rsidR="003205C7" w:rsidRPr="00955706" w:rsidRDefault="003205C7" w:rsidP="003205C7">
            <w:pPr>
              <w:spacing w:after="0" w:line="240" w:lineRule="auto"/>
              <w:jc w:val="right"/>
              <w:rPr>
                <w:rFonts w:ascii="Arial" w:eastAsia="Times New Roman" w:hAnsi="Arial" w:cs="Arial"/>
                <w:strike/>
                <w:sz w:val="20"/>
                <w:szCs w:val="20"/>
                <w:lang w:eastAsia="hu-HU"/>
              </w:rPr>
            </w:pPr>
          </w:p>
        </w:tc>
      </w:tr>
      <w:tr w:rsidR="003205C7" w:rsidRPr="003A1834" w:rsidTr="003205C7">
        <w:trPr>
          <w:trHeight w:val="298"/>
        </w:trPr>
        <w:tc>
          <w:tcPr>
            <w:tcW w:w="5702" w:type="dxa"/>
            <w:tcBorders>
              <w:top w:val="single" w:sz="4" w:space="0" w:color="auto"/>
              <w:left w:val="single" w:sz="4" w:space="0" w:color="auto"/>
              <w:bottom w:val="single" w:sz="4" w:space="0" w:color="auto"/>
              <w:right w:val="single" w:sz="4" w:space="0" w:color="auto"/>
            </w:tcBorders>
            <w:shd w:val="clear" w:color="000000" w:fill="E7E6E6"/>
            <w:noWrap/>
            <w:vAlign w:val="bottom"/>
          </w:tcPr>
          <w:p w:rsidR="003205C7" w:rsidRPr="00955706" w:rsidRDefault="003205C7" w:rsidP="003205C7">
            <w:pPr>
              <w:spacing w:after="0" w:line="240" w:lineRule="auto"/>
              <w:rPr>
                <w:rFonts w:ascii="Arial" w:eastAsia="Times New Roman" w:hAnsi="Arial" w:cs="Arial"/>
                <w:b/>
                <w:bCs/>
                <w:sz w:val="20"/>
                <w:szCs w:val="20"/>
                <w:lang w:eastAsia="hu-HU"/>
              </w:rPr>
            </w:pPr>
            <w:r w:rsidRPr="00955706">
              <w:rPr>
                <w:rFonts w:ascii="Arial" w:eastAsia="Times New Roman" w:hAnsi="Arial" w:cs="Arial"/>
                <w:sz w:val="20"/>
                <w:szCs w:val="20"/>
                <w:lang w:eastAsia="hu-HU"/>
              </w:rPr>
              <w:t xml:space="preserve">telefonon egyeztetve: </w:t>
            </w:r>
          </w:p>
        </w:tc>
        <w:tc>
          <w:tcPr>
            <w:tcW w:w="3784" w:type="dxa"/>
            <w:tcBorders>
              <w:top w:val="nil"/>
              <w:left w:val="nil"/>
              <w:bottom w:val="single" w:sz="4" w:space="0" w:color="auto"/>
              <w:right w:val="single" w:sz="4" w:space="0" w:color="auto"/>
            </w:tcBorders>
            <w:shd w:val="clear" w:color="000000" w:fill="E7E6E6"/>
            <w:noWrap/>
            <w:vAlign w:val="bottom"/>
          </w:tcPr>
          <w:p w:rsidR="003205C7" w:rsidRPr="00955706" w:rsidRDefault="003205C7" w:rsidP="003205C7">
            <w:pPr>
              <w:spacing w:after="0" w:line="240" w:lineRule="auto"/>
              <w:jc w:val="right"/>
              <w:rPr>
                <w:rFonts w:ascii="Arial" w:eastAsia="Times New Roman" w:hAnsi="Arial" w:cs="Arial"/>
                <w:b/>
                <w:bCs/>
                <w:sz w:val="20"/>
                <w:szCs w:val="20"/>
                <w:lang w:eastAsia="hu-HU"/>
              </w:rPr>
            </w:pPr>
            <w:r w:rsidRPr="00955706">
              <w:rPr>
                <w:rFonts w:ascii="Arial" w:eastAsia="Times New Roman" w:hAnsi="Arial" w:cs="Arial"/>
                <w:sz w:val="20"/>
                <w:szCs w:val="20"/>
                <w:lang w:eastAsia="hu-HU"/>
              </w:rPr>
              <w:t>8 811 279</w:t>
            </w:r>
          </w:p>
        </w:tc>
      </w:tr>
      <w:tr w:rsidR="003205C7" w:rsidRPr="003A1834" w:rsidTr="003205C7">
        <w:trPr>
          <w:trHeight w:val="298"/>
        </w:trPr>
        <w:tc>
          <w:tcPr>
            <w:tcW w:w="5702"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3205C7" w:rsidRPr="00955706" w:rsidRDefault="003205C7" w:rsidP="003205C7">
            <w:pPr>
              <w:spacing w:after="0" w:line="240" w:lineRule="auto"/>
              <w:rPr>
                <w:rFonts w:ascii="Arial" w:eastAsia="Times New Roman" w:hAnsi="Arial" w:cs="Arial"/>
                <w:sz w:val="20"/>
                <w:szCs w:val="20"/>
                <w:lang w:eastAsia="hu-HU"/>
              </w:rPr>
            </w:pPr>
            <w:r w:rsidRPr="00955706">
              <w:rPr>
                <w:rFonts w:ascii="Arial" w:eastAsia="Times New Roman" w:hAnsi="Arial" w:cs="Arial"/>
                <w:sz w:val="20"/>
                <w:szCs w:val="20"/>
                <w:lang w:eastAsia="hu-HU"/>
              </w:rPr>
              <w:t>átvezetés</w:t>
            </w:r>
          </w:p>
        </w:tc>
        <w:tc>
          <w:tcPr>
            <w:tcW w:w="3784" w:type="dxa"/>
            <w:tcBorders>
              <w:top w:val="nil"/>
              <w:left w:val="nil"/>
              <w:bottom w:val="single" w:sz="4" w:space="0" w:color="auto"/>
              <w:right w:val="single" w:sz="4" w:space="0" w:color="auto"/>
            </w:tcBorders>
            <w:shd w:val="clear" w:color="000000" w:fill="E7E6E6"/>
            <w:noWrap/>
            <w:vAlign w:val="bottom"/>
            <w:hideMark/>
          </w:tcPr>
          <w:p w:rsidR="003205C7" w:rsidRPr="00955706" w:rsidRDefault="003205C7" w:rsidP="003205C7">
            <w:pPr>
              <w:spacing w:after="0" w:line="240" w:lineRule="auto"/>
              <w:jc w:val="right"/>
              <w:rPr>
                <w:rFonts w:ascii="Arial" w:eastAsia="Times New Roman" w:hAnsi="Arial" w:cs="Arial"/>
                <w:sz w:val="20"/>
                <w:szCs w:val="20"/>
                <w:lang w:eastAsia="hu-HU"/>
              </w:rPr>
            </w:pPr>
            <w:r w:rsidRPr="00955706">
              <w:rPr>
                <w:rFonts w:ascii="Arial" w:eastAsia="Times New Roman" w:hAnsi="Arial" w:cs="Arial"/>
                <w:sz w:val="20"/>
                <w:szCs w:val="20"/>
                <w:lang w:eastAsia="hu-HU"/>
              </w:rPr>
              <w:t>677 695</w:t>
            </w:r>
          </w:p>
        </w:tc>
      </w:tr>
      <w:tr w:rsidR="003205C7" w:rsidRPr="003A1834" w:rsidTr="003205C7">
        <w:trPr>
          <w:trHeight w:val="298"/>
        </w:trPr>
        <w:tc>
          <w:tcPr>
            <w:tcW w:w="57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205C7" w:rsidRPr="00955706" w:rsidRDefault="003205C7" w:rsidP="003205C7">
            <w:pPr>
              <w:spacing w:after="0" w:line="240" w:lineRule="auto"/>
              <w:rPr>
                <w:rFonts w:ascii="Arial" w:eastAsia="Times New Roman" w:hAnsi="Arial" w:cs="Arial"/>
                <w:sz w:val="20"/>
                <w:szCs w:val="20"/>
                <w:lang w:eastAsia="hu-HU"/>
              </w:rPr>
            </w:pPr>
            <w:r w:rsidRPr="00955706">
              <w:rPr>
                <w:rFonts w:ascii="Arial" w:eastAsia="Times New Roman" w:hAnsi="Arial" w:cs="Arial"/>
                <w:b/>
                <w:bCs/>
                <w:sz w:val="20"/>
                <w:szCs w:val="20"/>
                <w:lang w:eastAsia="hu-HU"/>
              </w:rPr>
              <w:t>Összes:</w:t>
            </w:r>
          </w:p>
        </w:tc>
        <w:tc>
          <w:tcPr>
            <w:tcW w:w="378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205C7" w:rsidRPr="00955706" w:rsidRDefault="003205C7" w:rsidP="003205C7">
            <w:pPr>
              <w:spacing w:after="0" w:line="240" w:lineRule="auto"/>
              <w:jc w:val="right"/>
              <w:rPr>
                <w:rFonts w:ascii="Arial" w:eastAsia="Times New Roman" w:hAnsi="Arial" w:cs="Arial"/>
                <w:sz w:val="20"/>
                <w:szCs w:val="20"/>
                <w:lang w:eastAsia="hu-HU"/>
              </w:rPr>
            </w:pPr>
            <w:r w:rsidRPr="00955706">
              <w:rPr>
                <w:rFonts w:ascii="Arial" w:eastAsia="Times New Roman" w:hAnsi="Arial" w:cs="Arial"/>
                <w:b/>
                <w:bCs/>
                <w:sz w:val="20"/>
                <w:szCs w:val="20"/>
                <w:lang w:eastAsia="hu-HU"/>
              </w:rPr>
              <w:t>9 488 974</w:t>
            </w:r>
          </w:p>
        </w:tc>
      </w:tr>
    </w:tbl>
    <w:p w:rsidR="003205C7" w:rsidRDefault="003205C7" w:rsidP="003205C7">
      <w:pPr>
        <w:spacing w:after="0" w:line="240" w:lineRule="auto"/>
        <w:rPr>
          <w:rFonts w:ascii="Arial" w:hAnsi="Arial" w:cs="Arial"/>
        </w:rPr>
      </w:pPr>
    </w:p>
    <w:p w:rsidR="00112AA4" w:rsidRPr="00A25BBE" w:rsidRDefault="00112AA4" w:rsidP="003205C7">
      <w:pPr>
        <w:spacing w:after="0" w:line="240" w:lineRule="auto"/>
        <w:rPr>
          <w:rFonts w:ascii="Arial" w:hAnsi="Arial" w:cs="Arial"/>
        </w:rPr>
      </w:pPr>
    </w:p>
    <w:p w:rsidR="003205C7" w:rsidRPr="00A25BBE" w:rsidRDefault="003205C7" w:rsidP="00112AA4">
      <w:pPr>
        <w:contextualSpacing/>
        <w:jc w:val="both"/>
        <w:rPr>
          <w:rFonts w:ascii="Arial" w:hAnsi="Arial" w:cs="Arial"/>
        </w:rPr>
      </w:pPr>
      <w:r w:rsidRPr="00A25BBE">
        <w:rPr>
          <w:rFonts w:ascii="Arial" w:hAnsi="Arial" w:cs="Arial"/>
        </w:rPr>
        <w:t>Az adóhatóság által foganatosítandó végrehajtási eljárásokról szóló 2017. évi CLIII.  törvény 2020. január 1. napjától már nem minősül végrehajtási cselekménynek, ha átvezethető túlfizetés összegét az általa nyilvántartott tartozásokra számolja el.</w:t>
      </w:r>
    </w:p>
    <w:p w:rsidR="003205C7" w:rsidRDefault="003205C7" w:rsidP="003205C7">
      <w:pPr>
        <w:autoSpaceDE w:val="0"/>
        <w:autoSpaceDN w:val="0"/>
        <w:adjustRightInd w:val="0"/>
        <w:spacing w:after="0" w:line="240" w:lineRule="auto"/>
        <w:jc w:val="both"/>
        <w:rPr>
          <w:rFonts w:ascii="Arial" w:hAnsi="Arial" w:cs="Arial"/>
          <w:highlight w:val="yellow"/>
        </w:rPr>
      </w:pPr>
    </w:p>
    <w:p w:rsidR="00112AA4" w:rsidRPr="003A1834" w:rsidRDefault="00112AA4" w:rsidP="003205C7">
      <w:pPr>
        <w:autoSpaceDE w:val="0"/>
        <w:autoSpaceDN w:val="0"/>
        <w:adjustRightInd w:val="0"/>
        <w:spacing w:after="0" w:line="240" w:lineRule="auto"/>
        <w:jc w:val="both"/>
        <w:rPr>
          <w:rFonts w:ascii="Arial" w:hAnsi="Arial" w:cs="Arial"/>
          <w:highlight w:val="yellow"/>
        </w:rPr>
      </w:pPr>
    </w:p>
    <w:tbl>
      <w:tblPr>
        <w:tblW w:w="9464" w:type="dxa"/>
        <w:tblCellMar>
          <w:left w:w="70" w:type="dxa"/>
          <w:right w:w="70" w:type="dxa"/>
        </w:tblCellMar>
        <w:tblLook w:val="04A0" w:firstRow="1" w:lastRow="0" w:firstColumn="1" w:lastColumn="0" w:noHBand="0" w:noVBand="1"/>
      </w:tblPr>
      <w:tblGrid>
        <w:gridCol w:w="4519"/>
        <w:gridCol w:w="1961"/>
        <w:gridCol w:w="2984"/>
      </w:tblGrid>
      <w:tr w:rsidR="003205C7" w:rsidRPr="003A1834" w:rsidTr="003205C7">
        <w:trPr>
          <w:trHeight w:val="297"/>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5C7" w:rsidRPr="00A25BBE" w:rsidRDefault="003205C7" w:rsidP="003205C7">
            <w:pPr>
              <w:spacing w:after="0"/>
              <w:rPr>
                <w:rFonts w:ascii="Arial" w:eastAsia="Times New Roman" w:hAnsi="Arial" w:cs="Arial"/>
                <w:b/>
                <w:bCs/>
                <w:sz w:val="20"/>
                <w:szCs w:val="20"/>
                <w:lang w:eastAsia="hu-HU"/>
              </w:rPr>
            </w:pPr>
            <w:r w:rsidRPr="00A25BBE">
              <w:rPr>
                <w:rFonts w:ascii="Arial" w:eastAsia="Times New Roman" w:hAnsi="Arial" w:cs="Arial"/>
                <w:b/>
                <w:bCs/>
                <w:sz w:val="20"/>
                <w:szCs w:val="20"/>
                <w:lang w:eastAsia="hu-HU"/>
              </w:rPr>
              <w:t>Végrehajtási cselekmények (behajtások)</w:t>
            </w:r>
          </w:p>
        </w:tc>
        <w:tc>
          <w:tcPr>
            <w:tcW w:w="4945" w:type="dxa"/>
            <w:gridSpan w:val="2"/>
            <w:tcBorders>
              <w:top w:val="single" w:sz="4" w:space="0" w:color="auto"/>
              <w:left w:val="nil"/>
              <w:bottom w:val="single" w:sz="4" w:space="0" w:color="auto"/>
              <w:right w:val="single" w:sz="4" w:space="0" w:color="auto"/>
            </w:tcBorders>
            <w:shd w:val="clear" w:color="auto" w:fill="auto"/>
            <w:noWrap/>
            <w:vAlign w:val="bottom"/>
            <w:hideMark/>
          </w:tcPr>
          <w:p w:rsidR="003205C7" w:rsidRPr="00A25BBE" w:rsidRDefault="003205C7" w:rsidP="003205C7">
            <w:pPr>
              <w:spacing w:after="0"/>
              <w:jc w:val="center"/>
              <w:rPr>
                <w:rFonts w:ascii="Arial" w:eastAsia="Times New Roman" w:hAnsi="Arial" w:cs="Arial"/>
                <w:sz w:val="20"/>
                <w:szCs w:val="20"/>
                <w:lang w:eastAsia="hu-HU"/>
              </w:rPr>
            </w:pPr>
            <w:r w:rsidRPr="00A25BBE">
              <w:rPr>
                <w:rFonts w:ascii="Arial" w:eastAsia="Times New Roman" w:hAnsi="Arial" w:cs="Arial"/>
                <w:sz w:val="20"/>
                <w:szCs w:val="20"/>
                <w:lang w:eastAsia="hu-HU"/>
              </w:rPr>
              <w:t>2021. évi végrehajtások</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hideMark/>
          </w:tcPr>
          <w:p w:rsidR="003205C7" w:rsidRPr="00A25BBE" w:rsidRDefault="003205C7" w:rsidP="003205C7">
            <w:pPr>
              <w:spacing w:after="0"/>
              <w:jc w:val="center"/>
              <w:rPr>
                <w:rFonts w:ascii="Arial" w:eastAsia="Times New Roman" w:hAnsi="Arial" w:cs="Arial"/>
                <w:sz w:val="20"/>
                <w:szCs w:val="20"/>
                <w:lang w:eastAsia="hu-HU"/>
              </w:rPr>
            </w:pPr>
            <w:r w:rsidRPr="00A25BBE">
              <w:rPr>
                <w:rFonts w:ascii="Arial" w:eastAsia="Times New Roman" w:hAnsi="Arial" w:cs="Arial"/>
                <w:sz w:val="20"/>
                <w:szCs w:val="20"/>
                <w:lang w:eastAsia="hu-HU"/>
              </w:rPr>
              <w:t> </w:t>
            </w:r>
          </w:p>
        </w:tc>
        <w:tc>
          <w:tcPr>
            <w:tcW w:w="1961" w:type="dxa"/>
            <w:tcBorders>
              <w:top w:val="nil"/>
              <w:left w:val="nil"/>
              <w:bottom w:val="single" w:sz="4" w:space="0" w:color="auto"/>
              <w:right w:val="single" w:sz="4" w:space="0" w:color="auto"/>
            </w:tcBorders>
            <w:shd w:val="clear" w:color="auto" w:fill="auto"/>
            <w:hideMark/>
          </w:tcPr>
          <w:p w:rsidR="003205C7" w:rsidRPr="00A25BBE" w:rsidRDefault="003205C7" w:rsidP="003205C7">
            <w:pPr>
              <w:spacing w:after="0"/>
              <w:jc w:val="center"/>
              <w:rPr>
                <w:rFonts w:ascii="Arial" w:eastAsia="Times New Roman" w:hAnsi="Arial" w:cs="Arial"/>
                <w:sz w:val="20"/>
                <w:szCs w:val="20"/>
                <w:lang w:eastAsia="hu-HU"/>
              </w:rPr>
            </w:pPr>
            <w:r w:rsidRPr="00A25BBE">
              <w:rPr>
                <w:rFonts w:ascii="Arial" w:eastAsia="Times New Roman" w:hAnsi="Arial" w:cs="Arial"/>
                <w:sz w:val="20"/>
                <w:szCs w:val="20"/>
                <w:lang w:eastAsia="hu-HU"/>
              </w:rPr>
              <w:t>végrehajtási összeg</w:t>
            </w:r>
          </w:p>
        </w:tc>
        <w:tc>
          <w:tcPr>
            <w:tcW w:w="2984" w:type="dxa"/>
            <w:tcBorders>
              <w:top w:val="nil"/>
              <w:left w:val="nil"/>
              <w:bottom w:val="single" w:sz="4" w:space="0" w:color="auto"/>
              <w:right w:val="single" w:sz="4" w:space="0" w:color="auto"/>
            </w:tcBorders>
            <w:shd w:val="clear" w:color="auto" w:fill="auto"/>
            <w:hideMark/>
          </w:tcPr>
          <w:p w:rsidR="003205C7" w:rsidRPr="00A25BBE" w:rsidRDefault="003205C7" w:rsidP="003205C7">
            <w:pPr>
              <w:spacing w:after="0"/>
              <w:jc w:val="center"/>
              <w:rPr>
                <w:rFonts w:ascii="Arial" w:eastAsia="Times New Roman" w:hAnsi="Arial" w:cs="Arial"/>
                <w:sz w:val="20"/>
                <w:szCs w:val="20"/>
                <w:lang w:eastAsia="hu-HU"/>
              </w:rPr>
            </w:pPr>
            <w:r w:rsidRPr="00A25BBE">
              <w:rPr>
                <w:rFonts w:ascii="Arial" w:eastAsia="Times New Roman" w:hAnsi="Arial" w:cs="Arial"/>
                <w:sz w:val="20"/>
                <w:szCs w:val="20"/>
                <w:lang w:eastAsia="hu-HU"/>
              </w:rPr>
              <w:t>befolyt összeg</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noWrap/>
            <w:vAlign w:val="bottom"/>
            <w:hideMark/>
          </w:tcPr>
          <w:p w:rsidR="003205C7" w:rsidRPr="00A25BBE" w:rsidRDefault="003205C7" w:rsidP="003205C7">
            <w:pPr>
              <w:spacing w:after="0"/>
              <w:rPr>
                <w:rFonts w:ascii="Arial" w:eastAsia="Times New Roman" w:hAnsi="Arial" w:cs="Arial"/>
                <w:sz w:val="20"/>
                <w:szCs w:val="20"/>
                <w:lang w:eastAsia="hu-HU"/>
              </w:rPr>
            </w:pPr>
            <w:r w:rsidRPr="00A25BBE">
              <w:rPr>
                <w:rFonts w:ascii="Arial" w:eastAsia="Times New Roman" w:hAnsi="Arial" w:cs="Arial"/>
                <w:sz w:val="20"/>
                <w:szCs w:val="20"/>
                <w:lang w:eastAsia="hu-HU"/>
              </w:rPr>
              <w:t>hatósági átutalás (inkasszó)</w:t>
            </w:r>
          </w:p>
        </w:tc>
        <w:tc>
          <w:tcPr>
            <w:tcW w:w="1961" w:type="dxa"/>
            <w:tcBorders>
              <w:top w:val="nil"/>
              <w:left w:val="nil"/>
              <w:bottom w:val="single" w:sz="4" w:space="0" w:color="auto"/>
              <w:right w:val="single" w:sz="4" w:space="0" w:color="auto"/>
            </w:tcBorders>
            <w:shd w:val="clear" w:color="auto" w:fill="auto"/>
            <w:noWrap/>
            <w:vAlign w:val="center"/>
            <w:hideMark/>
          </w:tcPr>
          <w:p w:rsidR="003205C7" w:rsidRPr="00A25BBE" w:rsidRDefault="003205C7" w:rsidP="003205C7">
            <w:pPr>
              <w:spacing w:after="0"/>
              <w:jc w:val="right"/>
              <w:rPr>
                <w:rFonts w:ascii="Arial" w:eastAsia="Times New Roman" w:hAnsi="Arial" w:cs="Arial"/>
                <w:sz w:val="20"/>
                <w:szCs w:val="20"/>
                <w:lang w:eastAsia="hu-HU"/>
              </w:rPr>
            </w:pPr>
            <w:r w:rsidRPr="00A25BBE">
              <w:rPr>
                <w:rFonts w:ascii="Arial" w:eastAsia="Times New Roman" w:hAnsi="Arial" w:cs="Arial"/>
                <w:sz w:val="20"/>
                <w:szCs w:val="20"/>
                <w:lang w:eastAsia="hu-HU"/>
              </w:rPr>
              <w:t>44 964 374</w:t>
            </w:r>
          </w:p>
        </w:tc>
        <w:tc>
          <w:tcPr>
            <w:tcW w:w="2984" w:type="dxa"/>
            <w:tcBorders>
              <w:top w:val="nil"/>
              <w:left w:val="nil"/>
              <w:bottom w:val="single" w:sz="4" w:space="0" w:color="auto"/>
              <w:right w:val="single" w:sz="4" w:space="0" w:color="auto"/>
            </w:tcBorders>
            <w:shd w:val="clear" w:color="auto" w:fill="auto"/>
            <w:noWrap/>
            <w:vAlign w:val="center"/>
            <w:hideMark/>
          </w:tcPr>
          <w:p w:rsidR="003205C7" w:rsidRPr="003A1834" w:rsidRDefault="003205C7" w:rsidP="003205C7">
            <w:pPr>
              <w:spacing w:after="0"/>
              <w:jc w:val="right"/>
              <w:rPr>
                <w:rFonts w:ascii="Arial" w:eastAsia="Times New Roman" w:hAnsi="Arial" w:cs="Arial"/>
                <w:sz w:val="20"/>
                <w:szCs w:val="20"/>
                <w:highlight w:val="yellow"/>
                <w:lang w:eastAsia="hu-HU"/>
              </w:rPr>
            </w:pPr>
            <w:r w:rsidRPr="00A25BBE">
              <w:rPr>
                <w:rFonts w:ascii="Arial" w:eastAsia="Times New Roman" w:hAnsi="Arial" w:cs="Arial"/>
                <w:sz w:val="20"/>
                <w:szCs w:val="20"/>
                <w:lang w:eastAsia="hu-HU"/>
              </w:rPr>
              <w:t>42 883 473</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noWrap/>
            <w:vAlign w:val="bottom"/>
            <w:hideMark/>
          </w:tcPr>
          <w:p w:rsidR="003205C7" w:rsidRPr="00AA001A" w:rsidRDefault="003205C7" w:rsidP="003205C7">
            <w:pPr>
              <w:spacing w:after="0"/>
              <w:rPr>
                <w:rFonts w:ascii="Arial" w:eastAsia="Times New Roman" w:hAnsi="Arial" w:cs="Arial"/>
                <w:sz w:val="20"/>
                <w:szCs w:val="20"/>
                <w:lang w:eastAsia="hu-HU"/>
              </w:rPr>
            </w:pPr>
            <w:r w:rsidRPr="00AA001A">
              <w:rPr>
                <w:rFonts w:ascii="Arial" w:eastAsia="Times New Roman" w:hAnsi="Arial" w:cs="Arial"/>
                <w:sz w:val="20"/>
                <w:szCs w:val="20"/>
                <w:lang w:eastAsia="hu-HU"/>
              </w:rPr>
              <w:t>munkabér - nyugdíj letiltás</w:t>
            </w:r>
          </w:p>
        </w:tc>
        <w:tc>
          <w:tcPr>
            <w:tcW w:w="1961" w:type="dxa"/>
            <w:tcBorders>
              <w:top w:val="nil"/>
              <w:left w:val="nil"/>
              <w:bottom w:val="single" w:sz="4" w:space="0" w:color="auto"/>
              <w:right w:val="single" w:sz="4" w:space="0" w:color="auto"/>
            </w:tcBorders>
            <w:shd w:val="clear" w:color="auto" w:fill="auto"/>
            <w:noWrap/>
            <w:vAlign w:val="center"/>
            <w:hideMark/>
          </w:tcPr>
          <w:p w:rsidR="003205C7" w:rsidRPr="00AA001A" w:rsidRDefault="003205C7" w:rsidP="003205C7">
            <w:pPr>
              <w:spacing w:after="0"/>
              <w:jc w:val="right"/>
              <w:rPr>
                <w:rFonts w:ascii="Arial" w:eastAsia="Times New Roman" w:hAnsi="Arial" w:cs="Arial"/>
                <w:sz w:val="20"/>
                <w:szCs w:val="20"/>
                <w:lang w:eastAsia="hu-HU"/>
              </w:rPr>
            </w:pPr>
            <w:r w:rsidRPr="00AA001A">
              <w:rPr>
                <w:rFonts w:ascii="Arial" w:eastAsia="Times New Roman" w:hAnsi="Arial" w:cs="Arial"/>
                <w:sz w:val="20"/>
                <w:szCs w:val="20"/>
                <w:lang w:eastAsia="hu-HU"/>
              </w:rPr>
              <w:t>189 616</w:t>
            </w:r>
          </w:p>
        </w:tc>
        <w:tc>
          <w:tcPr>
            <w:tcW w:w="2984" w:type="dxa"/>
            <w:tcBorders>
              <w:top w:val="nil"/>
              <w:left w:val="nil"/>
              <w:bottom w:val="single" w:sz="4" w:space="0" w:color="auto"/>
              <w:right w:val="single" w:sz="4" w:space="0" w:color="auto"/>
            </w:tcBorders>
            <w:shd w:val="clear" w:color="auto" w:fill="auto"/>
            <w:noWrap/>
            <w:vAlign w:val="center"/>
            <w:hideMark/>
          </w:tcPr>
          <w:p w:rsidR="003205C7" w:rsidRPr="00AA001A" w:rsidRDefault="003205C7" w:rsidP="003205C7">
            <w:pPr>
              <w:spacing w:after="0"/>
              <w:jc w:val="right"/>
              <w:rPr>
                <w:rFonts w:ascii="Arial" w:eastAsia="Times New Roman" w:hAnsi="Arial" w:cs="Arial"/>
                <w:sz w:val="20"/>
                <w:szCs w:val="20"/>
                <w:lang w:eastAsia="hu-HU"/>
              </w:rPr>
            </w:pPr>
            <w:r w:rsidRPr="00AA001A">
              <w:rPr>
                <w:rFonts w:ascii="Arial" w:eastAsia="Times New Roman" w:hAnsi="Arial" w:cs="Arial"/>
                <w:sz w:val="20"/>
                <w:szCs w:val="20"/>
                <w:lang w:eastAsia="hu-HU"/>
              </w:rPr>
              <w:t>162</w:t>
            </w:r>
            <w:r>
              <w:rPr>
                <w:rFonts w:ascii="Arial" w:eastAsia="Times New Roman" w:hAnsi="Arial" w:cs="Arial"/>
                <w:sz w:val="20"/>
                <w:szCs w:val="20"/>
                <w:lang w:eastAsia="hu-HU"/>
              </w:rPr>
              <w:t xml:space="preserve"> </w:t>
            </w:r>
            <w:r w:rsidRPr="00AA001A">
              <w:rPr>
                <w:rFonts w:ascii="Arial" w:eastAsia="Times New Roman" w:hAnsi="Arial" w:cs="Arial"/>
                <w:sz w:val="20"/>
                <w:szCs w:val="20"/>
                <w:lang w:eastAsia="hu-HU"/>
              </w:rPr>
              <w:t>429</w:t>
            </w:r>
          </w:p>
          <w:p w:rsidR="003205C7" w:rsidRPr="00AA001A" w:rsidRDefault="003205C7" w:rsidP="003205C7">
            <w:pPr>
              <w:spacing w:after="0"/>
              <w:jc w:val="right"/>
              <w:rPr>
                <w:rFonts w:ascii="Arial" w:eastAsia="Times New Roman" w:hAnsi="Arial" w:cs="Arial"/>
                <w:sz w:val="20"/>
                <w:szCs w:val="20"/>
                <w:lang w:eastAsia="hu-HU"/>
              </w:rPr>
            </w:pP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noWrap/>
            <w:vAlign w:val="bottom"/>
            <w:hideMark/>
          </w:tcPr>
          <w:p w:rsidR="003205C7" w:rsidRPr="00955706" w:rsidRDefault="003205C7" w:rsidP="003205C7">
            <w:pPr>
              <w:spacing w:after="0"/>
              <w:rPr>
                <w:rFonts w:ascii="Arial" w:eastAsia="Times New Roman" w:hAnsi="Arial" w:cs="Arial"/>
                <w:sz w:val="20"/>
                <w:szCs w:val="20"/>
                <w:lang w:eastAsia="hu-HU"/>
              </w:rPr>
            </w:pPr>
            <w:r w:rsidRPr="00955706">
              <w:rPr>
                <w:rFonts w:ascii="Arial" w:eastAsia="Times New Roman" w:hAnsi="Arial" w:cs="Arial"/>
                <w:sz w:val="20"/>
                <w:szCs w:val="20"/>
                <w:lang w:eastAsia="hu-HU"/>
              </w:rPr>
              <w:t>gépjármű forgalomból való kivonása</w:t>
            </w:r>
          </w:p>
        </w:tc>
        <w:tc>
          <w:tcPr>
            <w:tcW w:w="1961" w:type="dxa"/>
            <w:tcBorders>
              <w:top w:val="nil"/>
              <w:left w:val="nil"/>
              <w:bottom w:val="single" w:sz="4" w:space="0" w:color="auto"/>
              <w:right w:val="single" w:sz="4" w:space="0" w:color="auto"/>
            </w:tcBorders>
            <w:shd w:val="clear" w:color="auto" w:fill="auto"/>
            <w:noWrap/>
            <w:vAlign w:val="center"/>
            <w:hideMark/>
          </w:tcPr>
          <w:p w:rsidR="003205C7" w:rsidRPr="00955706" w:rsidRDefault="003205C7" w:rsidP="003205C7">
            <w:pPr>
              <w:spacing w:after="0"/>
              <w:jc w:val="right"/>
              <w:rPr>
                <w:rFonts w:ascii="Arial" w:eastAsia="Times New Roman" w:hAnsi="Arial" w:cs="Arial"/>
                <w:sz w:val="20"/>
                <w:szCs w:val="20"/>
                <w:lang w:eastAsia="hu-HU"/>
              </w:rPr>
            </w:pPr>
            <w:r w:rsidRPr="00955706">
              <w:rPr>
                <w:rFonts w:ascii="Arial" w:eastAsia="Times New Roman" w:hAnsi="Arial" w:cs="Arial"/>
                <w:sz w:val="20"/>
                <w:szCs w:val="20"/>
                <w:lang w:eastAsia="hu-HU"/>
              </w:rPr>
              <w:t>-</w:t>
            </w:r>
          </w:p>
        </w:tc>
        <w:tc>
          <w:tcPr>
            <w:tcW w:w="2984" w:type="dxa"/>
            <w:tcBorders>
              <w:top w:val="nil"/>
              <w:left w:val="nil"/>
              <w:bottom w:val="single" w:sz="4" w:space="0" w:color="auto"/>
              <w:right w:val="single" w:sz="4" w:space="0" w:color="auto"/>
            </w:tcBorders>
            <w:shd w:val="clear" w:color="auto" w:fill="auto"/>
            <w:noWrap/>
            <w:vAlign w:val="center"/>
            <w:hideMark/>
          </w:tcPr>
          <w:p w:rsidR="003205C7" w:rsidRPr="00955706" w:rsidRDefault="003205C7" w:rsidP="003205C7">
            <w:pPr>
              <w:spacing w:after="0"/>
              <w:jc w:val="right"/>
              <w:rPr>
                <w:rFonts w:ascii="Arial" w:eastAsia="Times New Roman" w:hAnsi="Arial" w:cs="Arial"/>
                <w:sz w:val="20"/>
                <w:szCs w:val="20"/>
                <w:lang w:eastAsia="hu-HU"/>
              </w:rPr>
            </w:pPr>
            <w:r w:rsidRPr="00955706">
              <w:rPr>
                <w:rFonts w:ascii="Arial" w:eastAsia="Times New Roman" w:hAnsi="Arial" w:cs="Arial"/>
                <w:sz w:val="20"/>
                <w:szCs w:val="20"/>
                <w:lang w:eastAsia="hu-HU"/>
              </w:rPr>
              <w:t>-</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noWrap/>
            <w:vAlign w:val="bottom"/>
          </w:tcPr>
          <w:p w:rsidR="003205C7" w:rsidRPr="003A1834" w:rsidRDefault="003205C7" w:rsidP="003205C7">
            <w:pPr>
              <w:spacing w:after="0"/>
              <w:rPr>
                <w:rFonts w:ascii="Arial" w:eastAsia="Times New Roman" w:hAnsi="Arial" w:cs="Arial"/>
                <w:b/>
                <w:bCs/>
                <w:sz w:val="20"/>
                <w:szCs w:val="20"/>
                <w:highlight w:val="yellow"/>
                <w:lang w:eastAsia="hu-HU"/>
              </w:rPr>
            </w:pPr>
            <w:r w:rsidRPr="00A25BBE">
              <w:rPr>
                <w:rFonts w:ascii="Arial" w:eastAsia="Times New Roman" w:hAnsi="Arial" w:cs="Arial"/>
                <w:b/>
                <w:bCs/>
                <w:sz w:val="20"/>
                <w:szCs w:val="20"/>
                <w:lang w:eastAsia="hu-HU"/>
              </w:rPr>
              <w:t xml:space="preserve">összesen </w:t>
            </w:r>
          </w:p>
        </w:tc>
        <w:tc>
          <w:tcPr>
            <w:tcW w:w="1961" w:type="dxa"/>
            <w:tcBorders>
              <w:top w:val="nil"/>
              <w:left w:val="nil"/>
              <w:bottom w:val="single" w:sz="4" w:space="0" w:color="auto"/>
              <w:right w:val="single" w:sz="4" w:space="0" w:color="auto"/>
            </w:tcBorders>
            <w:shd w:val="clear" w:color="000000" w:fill="FFFFFF"/>
            <w:noWrap/>
            <w:vAlign w:val="center"/>
          </w:tcPr>
          <w:p w:rsidR="003205C7" w:rsidRPr="00A25BBE" w:rsidRDefault="003205C7" w:rsidP="003205C7">
            <w:pPr>
              <w:spacing w:after="0"/>
              <w:jc w:val="right"/>
              <w:rPr>
                <w:rFonts w:ascii="Arial" w:eastAsia="Times New Roman" w:hAnsi="Arial" w:cs="Arial"/>
                <w:b/>
                <w:bCs/>
                <w:sz w:val="20"/>
                <w:szCs w:val="20"/>
                <w:lang w:eastAsia="hu-HU"/>
              </w:rPr>
            </w:pPr>
            <w:r w:rsidRPr="00A25BBE">
              <w:rPr>
                <w:rFonts w:ascii="Arial" w:eastAsia="Times New Roman" w:hAnsi="Arial" w:cs="Arial"/>
                <w:b/>
                <w:bCs/>
                <w:sz w:val="20"/>
                <w:szCs w:val="20"/>
                <w:lang w:eastAsia="hu-HU"/>
              </w:rPr>
              <w:t>45 153 990</w:t>
            </w:r>
          </w:p>
        </w:tc>
        <w:tc>
          <w:tcPr>
            <w:tcW w:w="2984" w:type="dxa"/>
            <w:tcBorders>
              <w:top w:val="nil"/>
              <w:left w:val="nil"/>
              <w:bottom w:val="single" w:sz="4" w:space="0" w:color="auto"/>
              <w:right w:val="single" w:sz="4" w:space="0" w:color="auto"/>
            </w:tcBorders>
            <w:shd w:val="clear" w:color="auto" w:fill="auto"/>
            <w:noWrap/>
            <w:vAlign w:val="center"/>
          </w:tcPr>
          <w:p w:rsidR="003205C7" w:rsidRPr="00A25BBE" w:rsidRDefault="003205C7" w:rsidP="003205C7">
            <w:pPr>
              <w:spacing w:after="0"/>
              <w:jc w:val="right"/>
              <w:rPr>
                <w:rFonts w:ascii="Arial" w:eastAsia="Times New Roman" w:hAnsi="Arial" w:cs="Arial"/>
                <w:b/>
                <w:bCs/>
                <w:sz w:val="20"/>
                <w:szCs w:val="20"/>
                <w:lang w:eastAsia="hu-HU"/>
              </w:rPr>
            </w:pPr>
            <w:r w:rsidRPr="00A25BBE">
              <w:rPr>
                <w:rFonts w:ascii="Arial" w:eastAsia="Times New Roman" w:hAnsi="Arial" w:cs="Arial"/>
                <w:b/>
                <w:bCs/>
                <w:sz w:val="20"/>
                <w:szCs w:val="20"/>
                <w:lang w:eastAsia="hu-HU"/>
              </w:rPr>
              <w:t>43 045 902</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205C7" w:rsidRPr="00955706" w:rsidRDefault="003205C7" w:rsidP="003205C7">
            <w:pPr>
              <w:spacing w:after="0"/>
              <w:rPr>
                <w:rFonts w:ascii="Arial" w:eastAsia="Times New Roman" w:hAnsi="Arial" w:cs="Arial"/>
                <w:sz w:val="20"/>
                <w:szCs w:val="20"/>
                <w:lang w:eastAsia="hu-HU"/>
              </w:rPr>
            </w:pPr>
            <w:r w:rsidRPr="00955706">
              <w:rPr>
                <w:rFonts w:ascii="Arial" w:eastAsia="Times New Roman" w:hAnsi="Arial" w:cs="Arial"/>
                <w:sz w:val="20"/>
                <w:szCs w:val="20"/>
                <w:lang w:eastAsia="hu-HU"/>
              </w:rPr>
              <w:t xml:space="preserve">telefonon egyeztetve </w:t>
            </w:r>
          </w:p>
        </w:tc>
        <w:tc>
          <w:tcPr>
            <w:tcW w:w="1961" w:type="dxa"/>
            <w:tcBorders>
              <w:top w:val="nil"/>
              <w:left w:val="nil"/>
              <w:bottom w:val="single" w:sz="4" w:space="0" w:color="auto"/>
              <w:right w:val="single" w:sz="4" w:space="0" w:color="auto"/>
            </w:tcBorders>
            <w:shd w:val="clear" w:color="auto" w:fill="E7E6E6" w:themeFill="background2"/>
            <w:noWrap/>
            <w:vAlign w:val="center"/>
            <w:hideMark/>
          </w:tcPr>
          <w:p w:rsidR="003205C7" w:rsidRPr="00955706" w:rsidRDefault="003205C7" w:rsidP="003205C7">
            <w:pPr>
              <w:spacing w:after="0"/>
              <w:jc w:val="right"/>
              <w:rPr>
                <w:rFonts w:ascii="Arial" w:eastAsia="Times New Roman" w:hAnsi="Arial" w:cs="Arial"/>
                <w:sz w:val="20"/>
                <w:szCs w:val="20"/>
                <w:lang w:eastAsia="hu-HU"/>
              </w:rPr>
            </w:pPr>
            <w:r w:rsidRPr="00955706">
              <w:rPr>
                <w:rFonts w:ascii="Arial" w:eastAsia="Times New Roman" w:hAnsi="Arial" w:cs="Arial"/>
                <w:sz w:val="20"/>
                <w:szCs w:val="20"/>
                <w:lang w:eastAsia="hu-HU"/>
              </w:rPr>
              <w:t>6 636 972</w:t>
            </w:r>
          </w:p>
        </w:tc>
        <w:tc>
          <w:tcPr>
            <w:tcW w:w="2984" w:type="dxa"/>
            <w:tcBorders>
              <w:top w:val="nil"/>
              <w:left w:val="nil"/>
              <w:bottom w:val="single" w:sz="4" w:space="0" w:color="auto"/>
              <w:right w:val="single" w:sz="4" w:space="0" w:color="auto"/>
            </w:tcBorders>
            <w:shd w:val="clear" w:color="auto" w:fill="E7E6E6" w:themeFill="background2"/>
            <w:noWrap/>
            <w:vAlign w:val="center"/>
            <w:hideMark/>
          </w:tcPr>
          <w:p w:rsidR="003205C7" w:rsidRPr="00955706" w:rsidRDefault="003205C7" w:rsidP="003205C7">
            <w:pPr>
              <w:spacing w:after="0"/>
              <w:jc w:val="right"/>
              <w:rPr>
                <w:rFonts w:ascii="Arial" w:eastAsia="Times New Roman" w:hAnsi="Arial" w:cs="Arial"/>
                <w:sz w:val="20"/>
                <w:szCs w:val="20"/>
                <w:lang w:eastAsia="hu-HU"/>
              </w:rPr>
            </w:pPr>
            <w:r w:rsidRPr="00955706">
              <w:rPr>
                <w:rFonts w:ascii="Arial" w:eastAsia="Times New Roman" w:hAnsi="Arial" w:cs="Arial"/>
                <w:sz w:val="20"/>
                <w:szCs w:val="20"/>
                <w:lang w:eastAsia="hu-HU"/>
              </w:rPr>
              <w:t>8 811 279</w:t>
            </w:r>
          </w:p>
        </w:tc>
      </w:tr>
      <w:tr w:rsidR="003205C7" w:rsidRPr="003A1834" w:rsidTr="003205C7">
        <w:trPr>
          <w:trHeight w:val="311"/>
        </w:trPr>
        <w:tc>
          <w:tcPr>
            <w:tcW w:w="4519" w:type="dxa"/>
            <w:tcBorders>
              <w:top w:val="nil"/>
              <w:left w:val="single" w:sz="4" w:space="0" w:color="auto"/>
              <w:bottom w:val="single" w:sz="8" w:space="0" w:color="auto"/>
              <w:right w:val="single" w:sz="4" w:space="0" w:color="auto"/>
            </w:tcBorders>
            <w:shd w:val="clear" w:color="000000" w:fill="E7E6E6"/>
            <w:noWrap/>
            <w:vAlign w:val="bottom"/>
            <w:hideMark/>
          </w:tcPr>
          <w:p w:rsidR="003205C7" w:rsidRPr="00AA001A" w:rsidRDefault="003205C7" w:rsidP="003205C7">
            <w:pPr>
              <w:spacing w:after="0"/>
              <w:rPr>
                <w:rFonts w:ascii="Arial" w:eastAsia="Times New Roman" w:hAnsi="Arial" w:cs="Arial"/>
                <w:sz w:val="20"/>
                <w:szCs w:val="20"/>
                <w:lang w:eastAsia="hu-HU"/>
              </w:rPr>
            </w:pPr>
            <w:r w:rsidRPr="00AA001A">
              <w:rPr>
                <w:rFonts w:ascii="Arial" w:eastAsia="Times New Roman" w:hAnsi="Arial" w:cs="Arial"/>
                <w:sz w:val="20"/>
                <w:szCs w:val="20"/>
                <w:lang w:eastAsia="hu-HU"/>
              </w:rPr>
              <w:t xml:space="preserve">átvezetés </w:t>
            </w:r>
          </w:p>
        </w:tc>
        <w:tc>
          <w:tcPr>
            <w:tcW w:w="1961" w:type="dxa"/>
            <w:tcBorders>
              <w:top w:val="nil"/>
              <w:left w:val="nil"/>
              <w:bottom w:val="single" w:sz="8" w:space="0" w:color="auto"/>
              <w:right w:val="single" w:sz="4" w:space="0" w:color="auto"/>
            </w:tcBorders>
            <w:shd w:val="clear" w:color="000000" w:fill="E7E6E6"/>
            <w:noWrap/>
            <w:vAlign w:val="center"/>
            <w:hideMark/>
          </w:tcPr>
          <w:p w:rsidR="003205C7" w:rsidRPr="00AA001A" w:rsidRDefault="003205C7" w:rsidP="003205C7">
            <w:pPr>
              <w:spacing w:after="0"/>
              <w:jc w:val="right"/>
              <w:rPr>
                <w:rFonts w:ascii="Arial" w:eastAsia="Times New Roman" w:hAnsi="Arial" w:cs="Arial"/>
                <w:sz w:val="20"/>
                <w:szCs w:val="20"/>
                <w:lang w:eastAsia="hu-HU"/>
              </w:rPr>
            </w:pPr>
            <w:r w:rsidRPr="00AA001A">
              <w:rPr>
                <w:rFonts w:ascii="Arial" w:eastAsia="Times New Roman" w:hAnsi="Arial" w:cs="Arial"/>
                <w:sz w:val="20"/>
                <w:szCs w:val="20"/>
                <w:lang w:eastAsia="hu-HU"/>
              </w:rPr>
              <w:t>677 695</w:t>
            </w:r>
          </w:p>
        </w:tc>
        <w:tc>
          <w:tcPr>
            <w:tcW w:w="2984" w:type="dxa"/>
            <w:tcBorders>
              <w:top w:val="nil"/>
              <w:left w:val="nil"/>
              <w:bottom w:val="single" w:sz="8" w:space="0" w:color="auto"/>
              <w:right w:val="single" w:sz="4" w:space="0" w:color="auto"/>
            </w:tcBorders>
            <w:shd w:val="clear" w:color="000000" w:fill="E7E6E6"/>
            <w:noWrap/>
            <w:vAlign w:val="center"/>
            <w:hideMark/>
          </w:tcPr>
          <w:p w:rsidR="003205C7" w:rsidRPr="00AA001A" w:rsidRDefault="003205C7" w:rsidP="003205C7">
            <w:pPr>
              <w:spacing w:after="0"/>
              <w:jc w:val="right"/>
              <w:rPr>
                <w:rFonts w:ascii="Arial" w:eastAsia="Times New Roman" w:hAnsi="Arial" w:cs="Arial"/>
                <w:sz w:val="20"/>
                <w:szCs w:val="20"/>
                <w:lang w:eastAsia="hu-HU"/>
              </w:rPr>
            </w:pPr>
            <w:r w:rsidRPr="00AA001A">
              <w:rPr>
                <w:rFonts w:ascii="Arial" w:eastAsia="Times New Roman" w:hAnsi="Arial" w:cs="Arial"/>
                <w:sz w:val="20"/>
                <w:szCs w:val="20"/>
                <w:lang w:eastAsia="hu-HU"/>
              </w:rPr>
              <w:t>677 695</w:t>
            </w:r>
          </w:p>
        </w:tc>
      </w:tr>
      <w:tr w:rsidR="003205C7" w:rsidRPr="003A1834" w:rsidTr="003205C7">
        <w:trPr>
          <w:trHeight w:val="297"/>
        </w:trPr>
        <w:tc>
          <w:tcPr>
            <w:tcW w:w="4519" w:type="dxa"/>
            <w:tcBorders>
              <w:top w:val="nil"/>
              <w:left w:val="single" w:sz="4" w:space="0" w:color="auto"/>
              <w:bottom w:val="single" w:sz="4" w:space="0" w:color="auto"/>
              <w:right w:val="single" w:sz="4" w:space="0" w:color="auto"/>
            </w:tcBorders>
            <w:shd w:val="clear" w:color="auto" w:fill="auto"/>
            <w:noWrap/>
            <w:vAlign w:val="bottom"/>
            <w:hideMark/>
          </w:tcPr>
          <w:p w:rsidR="003205C7" w:rsidRPr="00A25BBE" w:rsidRDefault="003205C7" w:rsidP="003205C7">
            <w:pPr>
              <w:spacing w:after="0"/>
              <w:rPr>
                <w:rFonts w:ascii="Arial" w:eastAsia="Times New Roman" w:hAnsi="Arial" w:cs="Arial"/>
                <w:b/>
                <w:bCs/>
                <w:sz w:val="20"/>
                <w:szCs w:val="20"/>
                <w:lang w:eastAsia="hu-HU"/>
              </w:rPr>
            </w:pPr>
            <w:r w:rsidRPr="00A25BBE">
              <w:rPr>
                <w:rFonts w:ascii="Arial" w:eastAsia="Times New Roman" w:hAnsi="Arial" w:cs="Arial"/>
                <w:b/>
                <w:bCs/>
                <w:sz w:val="20"/>
                <w:szCs w:val="20"/>
                <w:lang w:eastAsia="hu-HU"/>
              </w:rPr>
              <w:t xml:space="preserve">összesen </w:t>
            </w:r>
          </w:p>
        </w:tc>
        <w:tc>
          <w:tcPr>
            <w:tcW w:w="1961" w:type="dxa"/>
            <w:tcBorders>
              <w:top w:val="nil"/>
              <w:left w:val="nil"/>
              <w:bottom w:val="single" w:sz="4" w:space="0" w:color="auto"/>
              <w:right w:val="single" w:sz="4" w:space="0" w:color="auto"/>
            </w:tcBorders>
            <w:shd w:val="clear" w:color="auto" w:fill="auto"/>
            <w:noWrap/>
            <w:vAlign w:val="center"/>
            <w:hideMark/>
          </w:tcPr>
          <w:p w:rsidR="003205C7" w:rsidRPr="00A25BBE" w:rsidRDefault="003205C7" w:rsidP="003205C7">
            <w:pPr>
              <w:spacing w:after="0"/>
              <w:jc w:val="right"/>
              <w:rPr>
                <w:rFonts w:ascii="Arial" w:eastAsia="Times New Roman" w:hAnsi="Arial" w:cs="Arial"/>
                <w:b/>
                <w:bCs/>
                <w:sz w:val="20"/>
                <w:szCs w:val="20"/>
                <w:lang w:eastAsia="hu-HU"/>
              </w:rPr>
            </w:pPr>
            <w:r w:rsidRPr="00A25BBE">
              <w:rPr>
                <w:rFonts w:ascii="Arial" w:eastAsia="Times New Roman" w:hAnsi="Arial" w:cs="Arial"/>
                <w:b/>
                <w:bCs/>
                <w:sz w:val="20"/>
                <w:szCs w:val="20"/>
                <w:lang w:eastAsia="hu-HU"/>
              </w:rPr>
              <w:t>52 468 657</w:t>
            </w:r>
          </w:p>
        </w:tc>
        <w:tc>
          <w:tcPr>
            <w:tcW w:w="2984" w:type="dxa"/>
            <w:tcBorders>
              <w:top w:val="nil"/>
              <w:left w:val="nil"/>
              <w:bottom w:val="single" w:sz="4" w:space="0" w:color="auto"/>
              <w:right w:val="single" w:sz="4" w:space="0" w:color="auto"/>
            </w:tcBorders>
            <w:shd w:val="clear" w:color="auto" w:fill="auto"/>
            <w:noWrap/>
            <w:vAlign w:val="center"/>
            <w:hideMark/>
          </w:tcPr>
          <w:p w:rsidR="003205C7" w:rsidRPr="003A1834" w:rsidRDefault="003205C7" w:rsidP="003205C7">
            <w:pPr>
              <w:spacing w:after="0"/>
              <w:jc w:val="right"/>
              <w:rPr>
                <w:rFonts w:ascii="Arial" w:eastAsia="Times New Roman" w:hAnsi="Arial" w:cs="Arial"/>
                <w:b/>
                <w:bCs/>
                <w:sz w:val="20"/>
                <w:szCs w:val="20"/>
                <w:highlight w:val="yellow"/>
                <w:lang w:eastAsia="hu-HU"/>
              </w:rPr>
            </w:pPr>
            <w:r w:rsidRPr="00A25BBE">
              <w:rPr>
                <w:rFonts w:ascii="Arial" w:eastAsia="Times New Roman" w:hAnsi="Arial" w:cs="Arial"/>
                <w:b/>
                <w:bCs/>
                <w:sz w:val="20"/>
                <w:szCs w:val="20"/>
                <w:lang w:eastAsia="hu-HU"/>
              </w:rPr>
              <w:t>52 534 876</w:t>
            </w:r>
          </w:p>
        </w:tc>
      </w:tr>
    </w:tbl>
    <w:p w:rsidR="00112AA4" w:rsidRPr="003A1834" w:rsidRDefault="00112AA4" w:rsidP="003205C7">
      <w:pPr>
        <w:autoSpaceDE w:val="0"/>
        <w:autoSpaceDN w:val="0"/>
        <w:adjustRightInd w:val="0"/>
        <w:spacing w:after="0"/>
        <w:jc w:val="both"/>
        <w:rPr>
          <w:rFonts w:ascii="Arial" w:hAnsi="Arial" w:cs="Arial"/>
          <w:highlight w:val="yellow"/>
        </w:rPr>
      </w:pPr>
    </w:p>
    <w:p w:rsidR="003205C7" w:rsidRPr="00A67EA3" w:rsidRDefault="003205C7" w:rsidP="00112AA4">
      <w:pPr>
        <w:autoSpaceDE w:val="0"/>
        <w:autoSpaceDN w:val="0"/>
        <w:adjustRightInd w:val="0"/>
        <w:contextualSpacing/>
        <w:jc w:val="both"/>
        <w:rPr>
          <w:rFonts w:ascii="Arial" w:hAnsi="Arial" w:cs="Arial"/>
        </w:rPr>
      </w:pPr>
      <w:r w:rsidRPr="00A67EA3">
        <w:rPr>
          <w:rFonts w:ascii="Arial" w:hAnsi="Arial" w:cs="Arial"/>
        </w:rPr>
        <w:t>Adóhatóságunk november hónapban 412 db hátralékos adózónak küldött egyenleg értesítőt, ezzel is csökkentve a kintlévőséget. A felhívás eredményeként közel 6 000</w:t>
      </w:r>
      <w:r>
        <w:rPr>
          <w:rFonts w:ascii="Arial" w:hAnsi="Arial" w:cs="Arial"/>
        </w:rPr>
        <w:t> </w:t>
      </w:r>
      <w:r w:rsidRPr="00A67EA3">
        <w:rPr>
          <w:rFonts w:ascii="Arial" w:hAnsi="Arial" w:cs="Arial"/>
        </w:rPr>
        <w:t>000</w:t>
      </w:r>
      <w:r>
        <w:rPr>
          <w:rFonts w:ascii="Arial" w:hAnsi="Arial" w:cs="Arial"/>
        </w:rPr>
        <w:t>,-</w:t>
      </w:r>
      <w:r w:rsidRPr="00A67EA3">
        <w:rPr>
          <w:rFonts w:ascii="Arial" w:hAnsi="Arial" w:cs="Arial"/>
        </w:rPr>
        <w:t xml:space="preserve"> Ft</w:t>
      </w:r>
      <w:r>
        <w:rPr>
          <w:rFonts w:ascii="Arial" w:hAnsi="Arial" w:cs="Arial"/>
        </w:rPr>
        <w:t>.</w:t>
      </w:r>
      <w:r w:rsidRPr="00A67EA3">
        <w:rPr>
          <w:rFonts w:ascii="Arial" w:hAnsi="Arial" w:cs="Arial"/>
        </w:rPr>
        <w:t xml:space="preserve"> </w:t>
      </w:r>
      <w:r>
        <w:rPr>
          <w:rFonts w:ascii="Arial" w:hAnsi="Arial" w:cs="Arial"/>
        </w:rPr>
        <w:t xml:space="preserve">került </w:t>
      </w:r>
      <w:r w:rsidRPr="00A67EA3">
        <w:rPr>
          <w:rFonts w:ascii="Arial" w:hAnsi="Arial" w:cs="Arial"/>
        </w:rPr>
        <w:t xml:space="preserve">megfizetésre. </w:t>
      </w:r>
    </w:p>
    <w:p w:rsidR="003205C7" w:rsidRPr="00930A9C" w:rsidRDefault="003205C7" w:rsidP="00112AA4">
      <w:pPr>
        <w:autoSpaceDE w:val="0"/>
        <w:autoSpaceDN w:val="0"/>
        <w:adjustRightInd w:val="0"/>
        <w:contextualSpacing/>
        <w:jc w:val="both"/>
        <w:rPr>
          <w:rFonts w:ascii="Arial" w:hAnsi="Arial" w:cs="Arial"/>
        </w:rPr>
      </w:pPr>
      <w:r w:rsidRPr="00930A9C">
        <w:rPr>
          <w:rFonts w:ascii="Arial" w:hAnsi="Arial" w:cs="Arial"/>
        </w:rPr>
        <w:t>Az adó- végrehajtási eljárás során az adós köteles végrehajtási költségátalány megfizetésére, amelynek mértéke 5.000,- Ft. Költségátalány 1</w:t>
      </w:r>
      <w:r>
        <w:rPr>
          <w:rFonts w:ascii="Arial" w:hAnsi="Arial" w:cs="Arial"/>
        </w:rPr>
        <w:t>41</w:t>
      </w:r>
      <w:r w:rsidRPr="00930A9C">
        <w:rPr>
          <w:rFonts w:ascii="Arial" w:hAnsi="Arial" w:cs="Arial"/>
        </w:rPr>
        <w:t xml:space="preserve"> adózó esetében került megállapításra. </w:t>
      </w:r>
    </w:p>
    <w:p w:rsidR="002605F5" w:rsidRDefault="002605F5" w:rsidP="00631411">
      <w:pPr>
        <w:autoSpaceDE w:val="0"/>
        <w:autoSpaceDN w:val="0"/>
        <w:adjustRightInd w:val="0"/>
        <w:spacing w:after="0"/>
        <w:jc w:val="both"/>
        <w:rPr>
          <w:rFonts w:ascii="Arial" w:hAnsi="Arial" w:cs="Arial"/>
        </w:rPr>
      </w:pPr>
    </w:p>
    <w:p w:rsidR="003205C7" w:rsidRPr="00955706" w:rsidRDefault="003205C7" w:rsidP="003205C7">
      <w:pPr>
        <w:pStyle w:val="Listaszerbekezds"/>
        <w:numPr>
          <w:ilvl w:val="1"/>
          <w:numId w:val="18"/>
        </w:numPr>
        <w:spacing w:after="240" w:line="276" w:lineRule="auto"/>
        <w:jc w:val="both"/>
        <w:rPr>
          <w:rFonts w:ascii="Arial" w:hAnsi="Arial" w:cs="Arial"/>
          <w:b/>
        </w:rPr>
      </w:pPr>
      <w:r w:rsidRPr="00955706">
        <w:rPr>
          <w:rFonts w:ascii="Arial" w:hAnsi="Arial" w:cs="Arial"/>
          <w:b/>
        </w:rPr>
        <w:t>Fizetési könnyítéses eljárások</w:t>
      </w:r>
    </w:p>
    <w:p w:rsidR="003205C7" w:rsidRPr="003A1834" w:rsidRDefault="003205C7" w:rsidP="003205C7">
      <w:pPr>
        <w:pStyle w:val="Listaszerbekezds"/>
        <w:autoSpaceDE w:val="0"/>
        <w:autoSpaceDN w:val="0"/>
        <w:adjustRightInd w:val="0"/>
        <w:spacing w:after="0" w:line="276" w:lineRule="auto"/>
        <w:jc w:val="both"/>
        <w:rPr>
          <w:rFonts w:ascii="Arial" w:hAnsi="Arial" w:cs="Arial"/>
          <w:highlight w:val="yellow"/>
        </w:rPr>
      </w:pPr>
    </w:p>
    <w:p w:rsidR="003205C7" w:rsidRPr="003A1834" w:rsidRDefault="003205C7" w:rsidP="003205C7">
      <w:pPr>
        <w:spacing w:after="0"/>
        <w:jc w:val="both"/>
        <w:rPr>
          <w:rFonts w:ascii="Arial" w:hAnsi="Arial" w:cs="Arial"/>
          <w:highlight w:val="yellow"/>
        </w:rPr>
      </w:pPr>
      <w:r w:rsidRPr="00ED655B">
        <w:rPr>
          <w:rFonts w:ascii="Arial" w:hAnsi="Arial" w:cs="Arial"/>
        </w:rPr>
        <w:t>Az elmúlt évben 5 magánszemély és 4 gazdasági társaság kért fizetési halasztást, illetve fizetési könnyítést. Adóhatóság 7 esetben engedélyezte az adó részletekben való megfizetését. A többi kérelem elutasításra került, illetve az eljárást az adóhatóság megszüntette, mivel a törvényi feltételeknek nem felelt meg.</w:t>
      </w:r>
    </w:p>
    <w:p w:rsidR="003205C7" w:rsidRPr="00ED655B" w:rsidRDefault="003205C7" w:rsidP="003205C7">
      <w:pPr>
        <w:autoSpaceDE w:val="0"/>
        <w:autoSpaceDN w:val="0"/>
        <w:adjustRightInd w:val="0"/>
        <w:spacing w:after="0"/>
        <w:jc w:val="both"/>
        <w:rPr>
          <w:rFonts w:ascii="Arial" w:hAnsi="Arial" w:cs="Arial"/>
        </w:rPr>
      </w:pPr>
      <w:r w:rsidRPr="00ED655B">
        <w:rPr>
          <w:rFonts w:ascii="Arial" w:hAnsi="Arial" w:cs="Arial"/>
        </w:rPr>
        <w:t xml:space="preserve">Az Art. 2017. évtől lehetőséget biztosit az automatikus részletfizetési kedvezményre, melyet 2018. évtől a jogszabály tovább bővített. Azok a természetes személyek adózók (ideértve az egyéni vállalkozókat is) akik legfeljebb 500 ezer forint tartozással rendelkeznek, évente egyszer 12 havi pótlékmentes részletfizetést kérhetnek. Ilyenkor az adóhatóságnak nincs joga vizsgálni az adózó </w:t>
      </w:r>
      <w:r w:rsidRPr="00ED655B">
        <w:rPr>
          <w:rFonts w:ascii="Arial" w:hAnsi="Arial" w:cs="Arial"/>
        </w:rPr>
        <w:lastRenderedPageBreak/>
        <w:t>vagyoni körülményeit, illetve az adótartozás kialakulásának okait, azonban itt is érvényes, ha az adózó az esedékes részlet befizetését nem teljesíti, a tartozás egy összegben esedékessé válik.</w:t>
      </w:r>
    </w:p>
    <w:p w:rsidR="003205C7" w:rsidRPr="003A1834" w:rsidRDefault="003205C7" w:rsidP="003205C7">
      <w:pPr>
        <w:autoSpaceDE w:val="0"/>
        <w:autoSpaceDN w:val="0"/>
        <w:adjustRightInd w:val="0"/>
        <w:spacing w:after="0"/>
        <w:jc w:val="both"/>
        <w:rPr>
          <w:rFonts w:ascii="Arial" w:hAnsi="Arial" w:cs="Arial"/>
          <w:highlight w:val="yellow"/>
        </w:rPr>
      </w:pPr>
    </w:p>
    <w:p w:rsidR="003205C7" w:rsidRPr="003A1834" w:rsidRDefault="003205C7" w:rsidP="003205C7">
      <w:pPr>
        <w:autoSpaceDE w:val="0"/>
        <w:autoSpaceDN w:val="0"/>
        <w:adjustRightInd w:val="0"/>
        <w:spacing w:after="0"/>
        <w:jc w:val="both"/>
        <w:rPr>
          <w:rFonts w:ascii="Arial" w:hAnsi="Arial" w:cs="Arial"/>
          <w:highlight w:val="yellow"/>
        </w:rPr>
      </w:pPr>
      <w:r w:rsidRPr="00ED655B">
        <w:rPr>
          <w:rFonts w:ascii="Arial" w:hAnsi="Arial" w:cs="Arial"/>
        </w:rPr>
        <w:t>Automatikus</w:t>
      </w:r>
      <w:r w:rsidRPr="00ED655B">
        <w:rPr>
          <w:rFonts w:ascii="Arial" w:hAnsi="Arial" w:cs="Arial"/>
          <w:color w:val="FF0000"/>
        </w:rPr>
        <w:t xml:space="preserve"> </w:t>
      </w:r>
      <w:r w:rsidRPr="00ED655B">
        <w:rPr>
          <w:rFonts w:ascii="Arial" w:hAnsi="Arial" w:cs="Arial"/>
        </w:rPr>
        <w:t>részletfizetési kedvezményt 3 esetben kérelmeztek, illetve engedélyeztünk.</w:t>
      </w:r>
    </w:p>
    <w:p w:rsidR="003205C7" w:rsidRPr="00A0629C" w:rsidRDefault="003205C7" w:rsidP="003205C7">
      <w:pPr>
        <w:autoSpaceDE w:val="0"/>
        <w:autoSpaceDN w:val="0"/>
        <w:adjustRightInd w:val="0"/>
        <w:spacing w:after="0" w:line="240" w:lineRule="auto"/>
        <w:jc w:val="both"/>
        <w:rPr>
          <w:rFonts w:ascii="Arial" w:hAnsi="Arial" w:cs="Arial"/>
          <w:highlight w:val="yellow"/>
        </w:rPr>
      </w:pPr>
    </w:p>
    <w:p w:rsidR="003205C7" w:rsidRPr="00ED655B" w:rsidRDefault="003205C7" w:rsidP="003205C7">
      <w:pPr>
        <w:autoSpaceDE w:val="0"/>
        <w:autoSpaceDN w:val="0"/>
        <w:adjustRightInd w:val="0"/>
        <w:spacing w:after="0"/>
        <w:jc w:val="both"/>
        <w:rPr>
          <w:rFonts w:ascii="Arial" w:hAnsi="Arial" w:cs="Arial"/>
        </w:rPr>
      </w:pPr>
      <w:r w:rsidRPr="00ED655B">
        <w:rPr>
          <w:rFonts w:ascii="Arial" w:hAnsi="Arial" w:cs="Arial"/>
        </w:rPr>
        <w:t xml:space="preserve">Az alábbi hátralék táblázat összege nem tartalmazza a már nem működő, felszámolás alatti gazdasági társaságok adótartozását, valamint az elévülési időszak hátralékállományát, illetve a nem esedékes hátralékot. </w:t>
      </w:r>
    </w:p>
    <w:tbl>
      <w:tblPr>
        <w:tblW w:w="9493" w:type="dxa"/>
        <w:tblCellMar>
          <w:left w:w="70" w:type="dxa"/>
          <w:right w:w="70" w:type="dxa"/>
        </w:tblCellMar>
        <w:tblLook w:val="04A0" w:firstRow="1" w:lastRow="0" w:firstColumn="1" w:lastColumn="0" w:noHBand="0" w:noVBand="1"/>
      </w:tblPr>
      <w:tblGrid>
        <w:gridCol w:w="3256"/>
        <w:gridCol w:w="1559"/>
        <w:gridCol w:w="2693"/>
        <w:gridCol w:w="1985"/>
      </w:tblGrid>
      <w:tr w:rsidR="003205C7" w:rsidRPr="003A1834" w:rsidTr="003205C7">
        <w:trPr>
          <w:trHeight w:val="315"/>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b/>
                <w:bCs/>
                <w:color w:val="000000"/>
                <w:lang w:eastAsia="hu-HU"/>
              </w:rPr>
            </w:pPr>
            <w:r w:rsidRPr="00930A9C">
              <w:rPr>
                <w:rFonts w:ascii="Arial" w:eastAsia="Times New Roman" w:hAnsi="Arial" w:cs="Arial"/>
                <w:b/>
                <w:bCs/>
                <w:color w:val="000000"/>
                <w:lang w:eastAsia="hu-HU"/>
              </w:rPr>
              <w:t>adónem</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center"/>
              <w:rPr>
                <w:rFonts w:ascii="Arial" w:eastAsia="Times New Roman" w:hAnsi="Arial" w:cs="Arial"/>
                <w:b/>
                <w:bCs/>
                <w:color w:val="000000"/>
                <w:lang w:eastAsia="hu-HU"/>
              </w:rPr>
            </w:pPr>
            <w:r w:rsidRPr="00930A9C">
              <w:rPr>
                <w:rFonts w:ascii="Arial" w:eastAsia="Times New Roman" w:hAnsi="Arial" w:cs="Arial"/>
                <w:b/>
                <w:bCs/>
                <w:color w:val="000000"/>
                <w:lang w:eastAsia="hu-HU"/>
              </w:rPr>
              <w:t>esedékes hátralék</w:t>
            </w:r>
          </w:p>
        </w:tc>
      </w:tr>
      <w:tr w:rsidR="003205C7" w:rsidRPr="00CF1C6C" w:rsidTr="003205C7">
        <w:trPr>
          <w:trHeight w:val="31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 </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b/>
                <w:bCs/>
                <w:color w:val="000000"/>
                <w:lang w:eastAsia="hu-HU"/>
              </w:rPr>
            </w:pPr>
            <w:r w:rsidRPr="00930A9C">
              <w:rPr>
                <w:rFonts w:ascii="Arial" w:eastAsia="Times New Roman" w:hAnsi="Arial" w:cs="Arial"/>
                <w:b/>
                <w:bCs/>
                <w:color w:val="000000"/>
                <w:lang w:eastAsia="hu-HU"/>
              </w:rPr>
              <w:t>2019.12.31</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b/>
                <w:bCs/>
                <w:color w:val="000000"/>
                <w:lang w:eastAsia="hu-HU"/>
              </w:rPr>
            </w:pPr>
            <w:r w:rsidRPr="00930A9C">
              <w:rPr>
                <w:rFonts w:ascii="Arial" w:eastAsia="Times New Roman" w:hAnsi="Arial" w:cs="Arial"/>
                <w:b/>
                <w:bCs/>
                <w:color w:val="000000"/>
                <w:lang w:eastAsia="hu-HU"/>
              </w:rPr>
              <w:t>2020.12.31</w:t>
            </w:r>
          </w:p>
        </w:tc>
        <w:tc>
          <w:tcPr>
            <w:tcW w:w="1985" w:type="dxa"/>
            <w:tcBorders>
              <w:top w:val="nil"/>
              <w:left w:val="nil"/>
              <w:bottom w:val="single" w:sz="4" w:space="0" w:color="auto"/>
              <w:right w:val="single" w:sz="4" w:space="0" w:color="auto"/>
            </w:tcBorders>
          </w:tcPr>
          <w:p w:rsidR="003205C7" w:rsidRPr="00CF1C6C" w:rsidRDefault="003205C7" w:rsidP="003205C7">
            <w:pPr>
              <w:spacing w:after="0" w:line="240" w:lineRule="auto"/>
              <w:jc w:val="right"/>
              <w:rPr>
                <w:rFonts w:ascii="Arial" w:eastAsia="Times New Roman" w:hAnsi="Arial" w:cs="Arial"/>
                <w:b/>
                <w:bCs/>
                <w:color w:val="000000"/>
                <w:highlight w:val="yellow"/>
                <w:lang w:eastAsia="hu-HU"/>
              </w:rPr>
            </w:pPr>
            <w:r w:rsidRPr="00944211">
              <w:rPr>
                <w:rFonts w:ascii="Arial" w:eastAsia="Times New Roman" w:hAnsi="Arial" w:cs="Arial"/>
                <w:b/>
                <w:bCs/>
                <w:color w:val="000000"/>
                <w:lang w:eastAsia="hu-HU"/>
              </w:rPr>
              <w:t>2021.12.31</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építményadó</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20 625 937</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23 924 160</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16 998 417</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idegenforgalmi adó</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2 285 130</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792 212</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3 716 468</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iparűzési adó</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41 480 210</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24 478 439</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12 122 272</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gépjárműadó</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3 718 003</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2 682 873</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850 399</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késedelmi pótlék</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5 151 329</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4 233 297</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4 033 064</w:t>
            </w:r>
          </w:p>
        </w:tc>
      </w:tr>
      <w:tr w:rsidR="003205C7" w:rsidRPr="003A1834" w:rsidTr="003205C7">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color w:val="000000"/>
                <w:lang w:eastAsia="hu-HU"/>
              </w:rPr>
            </w:pPr>
            <w:r w:rsidRPr="00930A9C">
              <w:rPr>
                <w:rFonts w:ascii="Arial" w:eastAsia="Times New Roman" w:hAnsi="Arial" w:cs="Arial"/>
                <w:color w:val="000000"/>
                <w:lang w:eastAsia="hu-HU"/>
              </w:rPr>
              <w:t>bírság és végrehajtási költség</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1 374 162</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color w:val="000000"/>
                <w:lang w:eastAsia="hu-HU"/>
              </w:rPr>
            </w:pPr>
            <w:r w:rsidRPr="00930A9C">
              <w:rPr>
                <w:rFonts w:ascii="Arial" w:eastAsia="Times New Roman" w:hAnsi="Arial" w:cs="Arial"/>
                <w:color w:val="000000"/>
                <w:lang w:eastAsia="hu-HU"/>
              </w:rPr>
              <w:t>1 111 933</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color w:val="000000"/>
                <w:lang w:eastAsia="hu-HU"/>
              </w:rPr>
            </w:pPr>
            <w:r w:rsidRPr="00723002">
              <w:rPr>
                <w:rFonts w:ascii="Arial" w:eastAsia="Times New Roman" w:hAnsi="Arial" w:cs="Arial"/>
                <w:color w:val="000000"/>
                <w:lang w:eastAsia="hu-HU"/>
              </w:rPr>
              <w:t>806 158</w:t>
            </w:r>
          </w:p>
        </w:tc>
      </w:tr>
      <w:tr w:rsidR="003205C7" w:rsidRPr="003A1834" w:rsidTr="003205C7">
        <w:trPr>
          <w:trHeight w:val="31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rPr>
                <w:rFonts w:ascii="Arial" w:eastAsia="Times New Roman" w:hAnsi="Arial" w:cs="Arial"/>
                <w:b/>
                <w:bCs/>
                <w:color w:val="000000"/>
                <w:lang w:eastAsia="hu-HU"/>
              </w:rPr>
            </w:pPr>
            <w:r w:rsidRPr="00930A9C">
              <w:rPr>
                <w:rFonts w:ascii="Arial" w:eastAsia="Times New Roman" w:hAnsi="Arial" w:cs="Arial"/>
                <w:b/>
                <w:bCs/>
                <w:color w:val="000000"/>
                <w:lang w:eastAsia="hu-HU"/>
              </w:rPr>
              <w:t>összesen:</w:t>
            </w:r>
          </w:p>
        </w:tc>
        <w:tc>
          <w:tcPr>
            <w:tcW w:w="1559"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b/>
                <w:color w:val="000000"/>
                <w:lang w:eastAsia="hu-HU"/>
              </w:rPr>
            </w:pPr>
            <w:r w:rsidRPr="00930A9C">
              <w:rPr>
                <w:rFonts w:ascii="Arial" w:eastAsia="Times New Roman" w:hAnsi="Arial" w:cs="Arial"/>
                <w:b/>
                <w:color w:val="000000"/>
                <w:lang w:eastAsia="hu-HU"/>
              </w:rPr>
              <w:t>74 634 771</w:t>
            </w:r>
          </w:p>
        </w:tc>
        <w:tc>
          <w:tcPr>
            <w:tcW w:w="2693" w:type="dxa"/>
            <w:tcBorders>
              <w:top w:val="nil"/>
              <w:left w:val="nil"/>
              <w:bottom w:val="single" w:sz="4" w:space="0" w:color="auto"/>
              <w:right w:val="single" w:sz="4" w:space="0" w:color="auto"/>
            </w:tcBorders>
            <w:shd w:val="clear" w:color="auto" w:fill="auto"/>
            <w:noWrap/>
            <w:vAlign w:val="bottom"/>
            <w:hideMark/>
          </w:tcPr>
          <w:p w:rsidR="003205C7" w:rsidRPr="00930A9C" w:rsidRDefault="003205C7" w:rsidP="003205C7">
            <w:pPr>
              <w:spacing w:after="0" w:line="240" w:lineRule="auto"/>
              <w:jc w:val="right"/>
              <w:rPr>
                <w:rFonts w:ascii="Arial" w:eastAsia="Times New Roman" w:hAnsi="Arial" w:cs="Arial"/>
                <w:b/>
                <w:color w:val="000000"/>
                <w:lang w:eastAsia="hu-HU"/>
              </w:rPr>
            </w:pPr>
            <w:r w:rsidRPr="00930A9C">
              <w:rPr>
                <w:rFonts w:ascii="Arial" w:eastAsia="Times New Roman" w:hAnsi="Arial" w:cs="Arial"/>
                <w:b/>
                <w:color w:val="000000"/>
                <w:lang w:eastAsia="hu-HU"/>
              </w:rPr>
              <w:t>57 222 914</w:t>
            </w:r>
          </w:p>
        </w:tc>
        <w:tc>
          <w:tcPr>
            <w:tcW w:w="1985" w:type="dxa"/>
            <w:tcBorders>
              <w:top w:val="nil"/>
              <w:left w:val="nil"/>
              <w:bottom w:val="single" w:sz="4" w:space="0" w:color="auto"/>
              <w:right w:val="single" w:sz="4" w:space="0" w:color="auto"/>
            </w:tcBorders>
          </w:tcPr>
          <w:p w:rsidR="003205C7" w:rsidRPr="00723002" w:rsidRDefault="003205C7" w:rsidP="003205C7">
            <w:pPr>
              <w:spacing w:after="0" w:line="240" w:lineRule="auto"/>
              <w:jc w:val="right"/>
              <w:rPr>
                <w:rFonts w:ascii="Arial" w:eastAsia="Times New Roman" w:hAnsi="Arial" w:cs="Arial"/>
                <w:b/>
                <w:color w:val="000000"/>
                <w:lang w:eastAsia="hu-HU"/>
              </w:rPr>
            </w:pPr>
            <w:r w:rsidRPr="00723002">
              <w:rPr>
                <w:rFonts w:ascii="Arial" w:eastAsia="Times New Roman" w:hAnsi="Arial" w:cs="Arial"/>
                <w:b/>
                <w:color w:val="000000"/>
                <w:lang w:eastAsia="hu-HU"/>
              </w:rPr>
              <w:t>38 526 778</w:t>
            </w:r>
          </w:p>
        </w:tc>
      </w:tr>
    </w:tbl>
    <w:p w:rsidR="003205C7" w:rsidRPr="003A1834" w:rsidRDefault="003205C7" w:rsidP="003205C7">
      <w:pPr>
        <w:pStyle w:val="Listaszerbekezds"/>
        <w:autoSpaceDE w:val="0"/>
        <w:autoSpaceDN w:val="0"/>
        <w:adjustRightInd w:val="0"/>
        <w:spacing w:after="0"/>
        <w:jc w:val="both"/>
        <w:rPr>
          <w:rFonts w:ascii="Arial" w:hAnsi="Arial" w:cs="Arial"/>
          <w:highlight w:val="yellow"/>
        </w:rPr>
      </w:pPr>
    </w:p>
    <w:p w:rsidR="003205C7" w:rsidRPr="006D528B" w:rsidRDefault="003205C7" w:rsidP="003205C7">
      <w:pPr>
        <w:autoSpaceDE w:val="0"/>
        <w:autoSpaceDN w:val="0"/>
        <w:adjustRightInd w:val="0"/>
        <w:spacing w:after="0"/>
        <w:jc w:val="both"/>
        <w:rPr>
          <w:rFonts w:ascii="Arial" w:hAnsi="Arial" w:cs="Arial"/>
        </w:rPr>
      </w:pPr>
      <w:r w:rsidRPr="00930A9C">
        <w:rPr>
          <w:rFonts w:ascii="Arial" w:hAnsi="Arial" w:cs="Arial"/>
        </w:rPr>
        <w:t>A 202</w:t>
      </w:r>
      <w:r>
        <w:rPr>
          <w:rFonts w:ascii="Arial" w:hAnsi="Arial" w:cs="Arial"/>
        </w:rPr>
        <w:t>2</w:t>
      </w:r>
      <w:r w:rsidRPr="00930A9C">
        <w:rPr>
          <w:rFonts w:ascii="Arial" w:hAnsi="Arial" w:cs="Arial"/>
        </w:rPr>
        <w:t>. évben az összes hátralék 202</w:t>
      </w:r>
      <w:r>
        <w:rPr>
          <w:rFonts w:ascii="Arial" w:hAnsi="Arial" w:cs="Arial"/>
        </w:rPr>
        <w:t>1</w:t>
      </w:r>
      <w:r w:rsidRPr="00930A9C">
        <w:rPr>
          <w:rFonts w:ascii="Arial" w:hAnsi="Arial" w:cs="Arial"/>
        </w:rPr>
        <w:t xml:space="preserve">. évhez képest </w:t>
      </w:r>
      <w:r w:rsidRPr="00723002">
        <w:rPr>
          <w:rFonts w:ascii="Arial" w:hAnsi="Arial" w:cs="Arial"/>
        </w:rPr>
        <w:t>18 696 136,- Ft-tal csökkent.</w:t>
      </w:r>
    </w:p>
    <w:p w:rsidR="003205C7" w:rsidRPr="00631411" w:rsidRDefault="003205C7" w:rsidP="00631411">
      <w:pPr>
        <w:autoSpaceDE w:val="0"/>
        <w:autoSpaceDN w:val="0"/>
        <w:adjustRightInd w:val="0"/>
        <w:spacing w:after="0"/>
        <w:jc w:val="both"/>
        <w:rPr>
          <w:rFonts w:ascii="Arial" w:hAnsi="Arial" w:cs="Arial"/>
        </w:rPr>
      </w:pPr>
    </w:p>
    <w:p w:rsidR="00974D54" w:rsidRPr="0059349D" w:rsidRDefault="00974D54" w:rsidP="00F921C6">
      <w:pPr>
        <w:pStyle w:val="Listaszerbekezds"/>
        <w:spacing w:after="240" w:line="276" w:lineRule="auto"/>
        <w:ind w:left="0"/>
        <w:jc w:val="both"/>
        <w:rPr>
          <w:rFonts w:ascii="Arial" w:hAnsi="Arial" w:cs="Arial"/>
          <w:b/>
        </w:rPr>
      </w:pPr>
    </w:p>
    <w:p w:rsidR="00F409E3" w:rsidRPr="00B14D67" w:rsidRDefault="00974D54" w:rsidP="00974D54">
      <w:pPr>
        <w:pStyle w:val="Listaszerbekezds"/>
        <w:numPr>
          <w:ilvl w:val="1"/>
          <w:numId w:val="18"/>
        </w:numPr>
        <w:spacing w:after="240" w:line="276" w:lineRule="auto"/>
        <w:jc w:val="both"/>
        <w:rPr>
          <w:rFonts w:ascii="Arial" w:hAnsi="Arial" w:cs="Arial"/>
          <w:b/>
        </w:rPr>
      </w:pPr>
      <w:r>
        <w:rPr>
          <w:rFonts w:ascii="Arial" w:hAnsi="Arial" w:cs="Arial"/>
          <w:b/>
        </w:rPr>
        <w:t xml:space="preserve"> </w:t>
      </w:r>
      <w:r w:rsidR="00693687">
        <w:rPr>
          <w:rFonts w:ascii="Arial" w:hAnsi="Arial" w:cs="Arial"/>
          <w:b/>
        </w:rPr>
        <w:t>E</w:t>
      </w:r>
      <w:r w:rsidR="00F409E3" w:rsidRPr="00B14D67">
        <w:rPr>
          <w:rFonts w:ascii="Arial" w:hAnsi="Arial" w:cs="Arial"/>
          <w:b/>
        </w:rPr>
        <w:t xml:space="preserve">llenőrzési tevékenység helyi adók vonatkozásában </w:t>
      </w:r>
    </w:p>
    <w:p w:rsidR="00AB5899" w:rsidRPr="00B14D67" w:rsidRDefault="00AB5899" w:rsidP="002860D4">
      <w:pPr>
        <w:spacing w:after="0"/>
        <w:jc w:val="both"/>
        <w:rPr>
          <w:rFonts w:ascii="Arial" w:hAnsi="Arial" w:cs="Arial"/>
        </w:rPr>
      </w:pPr>
      <w:r w:rsidRPr="00B14D67">
        <w:rPr>
          <w:rFonts w:ascii="Arial" w:hAnsi="Arial" w:cs="Arial"/>
        </w:rPr>
        <w:t>Az adóigazgatási fontos területe az adóellenőrzés. Az adóellenőrzéssel kapcsolatos feladatok:</w:t>
      </w:r>
    </w:p>
    <w:p w:rsidR="00AB5899" w:rsidRPr="00B14D67" w:rsidRDefault="00AB5899" w:rsidP="002860D4">
      <w:pPr>
        <w:pStyle w:val="Listaszerbekezds"/>
        <w:numPr>
          <w:ilvl w:val="0"/>
          <w:numId w:val="8"/>
        </w:numPr>
        <w:spacing w:after="0" w:line="276" w:lineRule="auto"/>
        <w:jc w:val="both"/>
        <w:rPr>
          <w:rFonts w:ascii="Arial" w:hAnsi="Arial" w:cs="Arial"/>
        </w:rPr>
      </w:pPr>
      <w:r w:rsidRPr="00B14D67">
        <w:rPr>
          <w:rFonts w:ascii="Arial" w:hAnsi="Arial" w:cs="Arial"/>
        </w:rPr>
        <w:t>a kijelölt adóalanyoknál az adóellenőrzés lefolytatása,</w:t>
      </w:r>
    </w:p>
    <w:p w:rsidR="00AB5899" w:rsidRPr="00B14D67" w:rsidRDefault="00AB5899" w:rsidP="002860D4">
      <w:pPr>
        <w:pStyle w:val="Listaszerbekezds"/>
        <w:numPr>
          <w:ilvl w:val="0"/>
          <w:numId w:val="8"/>
        </w:numPr>
        <w:spacing w:after="0" w:line="276" w:lineRule="auto"/>
        <w:jc w:val="both"/>
        <w:rPr>
          <w:rFonts w:ascii="Arial" w:hAnsi="Arial" w:cs="Arial"/>
        </w:rPr>
      </w:pPr>
      <w:r w:rsidRPr="00B14D67">
        <w:rPr>
          <w:rFonts w:ascii="Arial" w:hAnsi="Arial" w:cs="Arial"/>
        </w:rPr>
        <w:t>szükség szerint helyszíni ellenőrzés, megállapítások írásba foglalása, a jegyzőkönyv az ellenőrzés al</w:t>
      </w:r>
      <w:r w:rsidR="00EF1658" w:rsidRPr="00B14D67">
        <w:rPr>
          <w:rFonts w:ascii="Arial" w:hAnsi="Arial" w:cs="Arial"/>
        </w:rPr>
        <w:t>á vont részére történő megküldése,</w:t>
      </w:r>
    </w:p>
    <w:p w:rsidR="00EF1658" w:rsidRPr="00B14D67" w:rsidRDefault="00EF1658" w:rsidP="002860D4">
      <w:pPr>
        <w:pStyle w:val="Listaszerbekezds"/>
        <w:numPr>
          <w:ilvl w:val="0"/>
          <w:numId w:val="8"/>
        </w:numPr>
        <w:spacing w:after="0" w:line="276" w:lineRule="auto"/>
        <w:jc w:val="both"/>
        <w:rPr>
          <w:rFonts w:ascii="Arial" w:hAnsi="Arial" w:cs="Arial"/>
        </w:rPr>
      </w:pPr>
      <w:r w:rsidRPr="00B14D67">
        <w:rPr>
          <w:rFonts w:ascii="Arial" w:hAnsi="Arial" w:cs="Arial"/>
        </w:rPr>
        <w:t>határozat kibocsátása a megállapított adóhiányról, adóbírságról, késedelmi pótlékról.</w:t>
      </w:r>
    </w:p>
    <w:p w:rsidR="00CC503A" w:rsidRPr="00B14D67" w:rsidRDefault="00CC503A" w:rsidP="002860D4">
      <w:pPr>
        <w:pStyle w:val="Listaszerbekezds"/>
        <w:spacing w:after="0" w:line="276" w:lineRule="auto"/>
        <w:jc w:val="both"/>
        <w:rPr>
          <w:rFonts w:ascii="Arial" w:hAnsi="Arial" w:cs="Arial"/>
        </w:rPr>
      </w:pPr>
      <w:r w:rsidRPr="00B14D67">
        <w:rPr>
          <w:rFonts w:ascii="Arial" w:hAnsi="Arial" w:cs="Arial"/>
        </w:rPr>
        <w:t xml:space="preserve"> </w:t>
      </w:r>
    </w:p>
    <w:p w:rsidR="00F409E3" w:rsidRPr="00B14D67" w:rsidRDefault="00F409E3" w:rsidP="002860D4">
      <w:pPr>
        <w:spacing w:after="0"/>
        <w:jc w:val="both"/>
        <w:rPr>
          <w:rFonts w:ascii="Arial" w:hAnsi="Arial" w:cs="Arial"/>
        </w:rPr>
      </w:pPr>
      <w:r w:rsidRPr="00B14D67">
        <w:rPr>
          <w:rFonts w:ascii="Arial" w:hAnsi="Arial" w:cs="Arial"/>
        </w:rPr>
        <w:t>Az ellenőrzés célja az adótörvényekben és más jogszabályokban előírt kötelezettségek teljesítésének vagy megsértésének megállapítása.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Default="00F409E3" w:rsidP="002860D4">
      <w:pPr>
        <w:spacing w:after="0"/>
        <w:jc w:val="both"/>
        <w:rPr>
          <w:rFonts w:ascii="Arial" w:hAnsi="Arial" w:cs="Arial"/>
          <w:szCs w:val="24"/>
        </w:rPr>
      </w:pPr>
      <w:r w:rsidRPr="00B14D67">
        <w:rPr>
          <w:rFonts w:ascii="Arial" w:hAnsi="Arial" w:cs="Arial"/>
          <w:szCs w:val="24"/>
        </w:rPr>
        <w:t xml:space="preserve">Az adóellenőrzés az adóigazgatási tevékenység legnehezebb feladata, az eredményes és hatékony ellenőrzéshez megfelelő szaktudással és tapasztalattal rendelkező dolgozókra van szükség, ellenőri feladatot a dolgozók a hatósági munka </w:t>
      </w:r>
      <w:r w:rsidR="002860D4" w:rsidRPr="00B14D67">
        <w:rPr>
          <w:rFonts w:ascii="Arial" w:hAnsi="Arial" w:cs="Arial"/>
          <w:szCs w:val="24"/>
        </w:rPr>
        <w:t>mellett munkaterületük</w:t>
      </w:r>
      <w:r w:rsidRPr="00B14D67">
        <w:rPr>
          <w:rFonts w:ascii="Arial" w:hAnsi="Arial" w:cs="Arial"/>
          <w:szCs w:val="24"/>
        </w:rPr>
        <w:t xml:space="preserve"> vonatkozásában láttak el.</w:t>
      </w:r>
    </w:p>
    <w:p w:rsidR="00974D54" w:rsidRPr="00B14D67" w:rsidRDefault="00974D54" w:rsidP="002860D4">
      <w:pPr>
        <w:spacing w:after="0"/>
        <w:jc w:val="both"/>
        <w:rPr>
          <w:rFonts w:ascii="Arial" w:hAnsi="Arial" w:cs="Arial"/>
          <w:szCs w:val="24"/>
        </w:rPr>
      </w:pPr>
    </w:p>
    <w:p w:rsidR="00B14D67" w:rsidRPr="002860D4" w:rsidRDefault="00F409E3" w:rsidP="002860D4">
      <w:pPr>
        <w:spacing w:after="240"/>
        <w:ind w:left="1134"/>
        <w:jc w:val="both"/>
        <w:rPr>
          <w:rFonts w:ascii="Arial" w:hAnsi="Arial" w:cs="Arial"/>
          <w:b/>
        </w:rPr>
      </w:pPr>
      <w:r w:rsidRPr="00B776C3">
        <w:rPr>
          <w:rFonts w:ascii="Arial" w:hAnsi="Arial" w:cs="Arial"/>
          <w:b/>
        </w:rPr>
        <w:t xml:space="preserve">6.1. </w:t>
      </w:r>
      <w:r w:rsidR="00974D54">
        <w:rPr>
          <w:rFonts w:ascii="Arial" w:hAnsi="Arial" w:cs="Arial"/>
          <w:b/>
        </w:rPr>
        <w:t xml:space="preserve">    </w:t>
      </w:r>
      <w:r w:rsidRPr="00B776C3">
        <w:rPr>
          <w:rFonts w:ascii="Arial" w:hAnsi="Arial" w:cs="Arial"/>
          <w:b/>
        </w:rPr>
        <w:t>Építményadó ellenőrzés</w:t>
      </w:r>
    </w:p>
    <w:p w:rsidR="00BB6EE0" w:rsidRPr="004D4BE5" w:rsidRDefault="00BB6EE0" w:rsidP="00F921C6">
      <w:pPr>
        <w:pStyle w:val="Listaszerbekezds"/>
        <w:spacing w:after="120" w:line="276" w:lineRule="auto"/>
        <w:ind w:left="0"/>
        <w:jc w:val="both"/>
        <w:rPr>
          <w:rFonts w:ascii="Arial" w:hAnsi="Arial" w:cs="Arial"/>
        </w:rPr>
      </w:pPr>
      <w:r w:rsidRPr="004D4BE5">
        <w:rPr>
          <w:rFonts w:ascii="Arial" w:hAnsi="Arial" w:cs="Arial"/>
        </w:rPr>
        <w:t xml:space="preserve">Az adózásból kimaradt ingatlanok és adózók felderítése folyamatosan történik az ingatlanügyi hatóság által biztosított nyilvántartás </w:t>
      </w:r>
      <w:proofErr w:type="spellStart"/>
      <w:r w:rsidRPr="004D4BE5">
        <w:rPr>
          <w:rFonts w:ascii="Arial" w:hAnsi="Arial" w:cs="Arial"/>
        </w:rPr>
        <w:t>kivonatos</w:t>
      </w:r>
      <w:proofErr w:type="spellEnd"/>
      <w:r w:rsidRPr="004D4BE5">
        <w:rPr>
          <w:rFonts w:ascii="Arial" w:hAnsi="Arial" w:cs="Arial"/>
        </w:rPr>
        <w:t xml:space="preserve"> formája a Földkönyv, (</w:t>
      </w:r>
      <w:proofErr w:type="spellStart"/>
      <w:r w:rsidRPr="004D4BE5">
        <w:rPr>
          <w:rFonts w:ascii="Arial" w:hAnsi="Arial" w:cs="Arial"/>
        </w:rPr>
        <w:t>txt</w:t>
      </w:r>
      <w:proofErr w:type="spellEnd"/>
      <w:r w:rsidRPr="004D4BE5">
        <w:rPr>
          <w:rFonts w:ascii="Arial" w:hAnsi="Arial" w:cs="Arial"/>
        </w:rPr>
        <w:t xml:space="preserve"> fájl) illetve a TAKARNET rendszer által. A minden évben ingyenesen rendelkezésünkre bocsájtott Földkönyvi adatok összevetése az adóhatóság nyilvántartásával munkánk folyamatos részét képezi, ez jelenleg is folyamatban van. Ezáltal több nem adóztatott építmény kerül felderítésre, több esetben 5 évre visszamenőleg kellett megállapítani az eddig be nem vallott adót. </w:t>
      </w:r>
      <w:r w:rsidR="003205C7">
        <w:rPr>
          <w:rFonts w:ascii="Arial" w:hAnsi="Arial" w:cs="Arial"/>
        </w:rPr>
        <w:t>A 2021. éveben 121 esetben bocsátottunk ki felhívást az adóalanyok részére.</w:t>
      </w:r>
      <w:r w:rsidRPr="004D4BE5">
        <w:rPr>
          <w:rFonts w:ascii="Arial" w:hAnsi="Arial" w:cs="Arial"/>
        </w:rPr>
        <w:t xml:space="preserve"> Az esetek túlnyomó többségében (90% felett) a felhívásban megjelölt határidőben teljesítették bevallási kötelezettségüket. A fennmaradó esetekben az ismételt felhívás eredményre vezetett.</w:t>
      </w:r>
    </w:p>
    <w:p w:rsidR="00BB6EE0" w:rsidRDefault="00BB6EE0" w:rsidP="00F921C6">
      <w:pPr>
        <w:pStyle w:val="Listaszerbekezds"/>
        <w:spacing w:after="120" w:line="276" w:lineRule="auto"/>
        <w:ind w:left="0"/>
        <w:jc w:val="both"/>
        <w:rPr>
          <w:rFonts w:ascii="Arial" w:hAnsi="Arial" w:cs="Arial"/>
        </w:rPr>
      </w:pPr>
      <w:r w:rsidRPr="004D4BE5">
        <w:rPr>
          <w:rFonts w:ascii="Arial" w:hAnsi="Arial" w:cs="Arial"/>
        </w:rPr>
        <w:lastRenderedPageBreak/>
        <w:t>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A helyszíni szemléről jegyzőkönyv készül, melynek hitelesített példányát adózó a kivető határozattal együtt megkapja. A felmérések eredményei az adóhatóság saját nyilvántartásában rögzítésre kerülnek.</w:t>
      </w:r>
    </w:p>
    <w:p w:rsidR="004D5E66" w:rsidRPr="004D4BE5" w:rsidRDefault="004D5E66" w:rsidP="00F921C6">
      <w:pPr>
        <w:pStyle w:val="Listaszerbekezds"/>
        <w:spacing w:after="120" w:line="276" w:lineRule="auto"/>
        <w:ind w:left="0"/>
        <w:jc w:val="both"/>
        <w:rPr>
          <w:rFonts w:ascii="Arial" w:hAnsi="Arial" w:cs="Arial"/>
          <w:i/>
        </w:rPr>
      </w:pPr>
    </w:p>
    <w:p w:rsidR="000E5BA6" w:rsidRDefault="000E5BA6" w:rsidP="00F921C6">
      <w:pPr>
        <w:pStyle w:val="Listaszerbekezds"/>
        <w:spacing w:after="0" w:line="276" w:lineRule="auto"/>
        <w:rPr>
          <w:rFonts w:ascii="Arial" w:hAnsi="Arial" w:cs="Arial"/>
          <w:b/>
        </w:rPr>
      </w:pPr>
    </w:p>
    <w:p w:rsidR="0000014E" w:rsidRPr="00B776C3" w:rsidRDefault="0000014E" w:rsidP="0000014E">
      <w:pPr>
        <w:pStyle w:val="Listaszerbekezds"/>
        <w:numPr>
          <w:ilvl w:val="1"/>
          <w:numId w:val="13"/>
        </w:numPr>
        <w:spacing w:after="0" w:line="276" w:lineRule="auto"/>
        <w:ind w:left="1560"/>
        <w:rPr>
          <w:rFonts w:ascii="Arial" w:hAnsi="Arial" w:cs="Arial"/>
          <w:b/>
        </w:rPr>
      </w:pPr>
      <w:r w:rsidRPr="00B776C3">
        <w:rPr>
          <w:rFonts w:ascii="Arial" w:hAnsi="Arial" w:cs="Arial"/>
          <w:b/>
        </w:rPr>
        <w:t>Idegenforgalmi adóellenőrzés</w:t>
      </w:r>
    </w:p>
    <w:p w:rsidR="009E5644" w:rsidRDefault="009E5644" w:rsidP="009E5644">
      <w:pPr>
        <w:jc w:val="both"/>
        <w:rPr>
          <w:rFonts w:ascii="Arial" w:hAnsi="Arial" w:cs="Arial"/>
        </w:rPr>
      </w:pPr>
    </w:p>
    <w:p w:rsidR="009E5644" w:rsidRDefault="009E5644" w:rsidP="009E5644">
      <w:pPr>
        <w:contextualSpacing/>
        <w:jc w:val="both"/>
        <w:rPr>
          <w:rFonts w:ascii="Arial" w:hAnsi="Arial" w:cs="Arial"/>
        </w:rPr>
      </w:pPr>
      <w:r w:rsidRPr="002431F8">
        <w:rPr>
          <w:rFonts w:ascii="Arial" w:hAnsi="Arial" w:cs="Arial"/>
        </w:rPr>
        <w:t>Az idegenforgalmi adóellenőrzésben 6 fő köztisztviselő vett részt, akik hatósági munkájuk mellett látták el ezt a feladatot. Az ellenőrzések 2021. júliustól 2021. novemberig tartó időszakban zajlottak le. Összesen 62 szálláshelyet érintően folytak az ellenőrzések</w:t>
      </w:r>
      <w:r>
        <w:rPr>
          <w:rFonts w:ascii="Arial" w:hAnsi="Arial" w:cs="Arial"/>
        </w:rPr>
        <w:t>,</w:t>
      </w:r>
      <w:r w:rsidRPr="002431F8">
        <w:rPr>
          <w:rFonts w:ascii="Arial" w:hAnsi="Arial" w:cs="Arial"/>
        </w:rPr>
        <w:t xml:space="preserve"> </w:t>
      </w:r>
      <w:r>
        <w:rPr>
          <w:rFonts w:ascii="Arial" w:hAnsi="Arial" w:cs="Arial"/>
        </w:rPr>
        <w:t>e</w:t>
      </w:r>
      <w:r w:rsidRPr="002431F8">
        <w:rPr>
          <w:rFonts w:ascii="Arial" w:hAnsi="Arial" w:cs="Arial"/>
        </w:rPr>
        <w:t xml:space="preserve">bből 60 helyszíni ellenőrzés keretében történt. Az helyszíni ellenőrzések során 2 </w:t>
      </w:r>
      <w:r>
        <w:rPr>
          <w:rFonts w:ascii="Arial" w:hAnsi="Arial" w:cs="Arial"/>
        </w:rPr>
        <w:t>alkalommal</w:t>
      </w:r>
      <w:r w:rsidRPr="002431F8">
        <w:rPr>
          <w:rFonts w:ascii="Arial" w:hAnsi="Arial" w:cs="Arial"/>
        </w:rPr>
        <w:t xml:space="preserve"> jogsértés </w:t>
      </w:r>
      <w:r>
        <w:rPr>
          <w:rFonts w:ascii="Arial" w:hAnsi="Arial" w:cs="Arial"/>
        </w:rPr>
        <w:t>kerül feltárásra, ezen esetekben bírság kiszabása történt.</w:t>
      </w:r>
    </w:p>
    <w:p w:rsidR="009E5644" w:rsidRPr="009938FE" w:rsidRDefault="009E5644" w:rsidP="009E5644">
      <w:pPr>
        <w:contextualSpacing/>
        <w:jc w:val="both"/>
        <w:rPr>
          <w:rFonts w:ascii="Arial" w:hAnsi="Arial" w:cs="Arial"/>
        </w:rPr>
      </w:pPr>
      <w:r>
        <w:rPr>
          <w:rFonts w:ascii="Arial" w:hAnsi="Arial" w:cs="Arial"/>
        </w:rPr>
        <w:t xml:space="preserve">Hivatalból 2 bejelentés nélküli </w:t>
      </w:r>
      <w:r w:rsidRPr="009938FE">
        <w:rPr>
          <w:rFonts w:ascii="Arial" w:hAnsi="Arial" w:cs="Arial"/>
        </w:rPr>
        <w:t xml:space="preserve">szálláshely esetében </w:t>
      </w:r>
      <w:r>
        <w:rPr>
          <w:rFonts w:ascii="Arial" w:hAnsi="Arial" w:cs="Arial"/>
        </w:rPr>
        <w:t>indult</w:t>
      </w:r>
      <w:r w:rsidRPr="009938FE">
        <w:rPr>
          <w:rFonts w:ascii="Arial" w:hAnsi="Arial" w:cs="Arial"/>
        </w:rPr>
        <w:t xml:space="preserve"> idegenforgalmi adókötelezettség teljesítésére irányuló ellenőrzés.</w:t>
      </w:r>
    </w:p>
    <w:p w:rsidR="009E5644" w:rsidRPr="009938FE" w:rsidRDefault="009E5644" w:rsidP="009E5644">
      <w:pPr>
        <w:contextualSpacing/>
        <w:jc w:val="both"/>
        <w:rPr>
          <w:rFonts w:ascii="Arial" w:hAnsi="Arial" w:cs="Arial"/>
        </w:rPr>
      </w:pPr>
      <w:r w:rsidRPr="009938FE">
        <w:rPr>
          <w:rFonts w:ascii="Arial" w:hAnsi="Arial" w:cs="Arial"/>
        </w:rPr>
        <w:t>Az idegenforgalmi adóellenőrzés során a kollégák, nemcsak a szálláshelyszolgáltató internetes portálon történő foglalásairól tájékozódtak előzetesen, hanem vizsgálták az építményadóbevallás meglétét is.</w:t>
      </w:r>
    </w:p>
    <w:p w:rsidR="009E5644" w:rsidRPr="009938FE" w:rsidRDefault="009E5644" w:rsidP="009E5644">
      <w:pPr>
        <w:contextualSpacing/>
        <w:jc w:val="both"/>
        <w:rPr>
          <w:rFonts w:ascii="Arial" w:hAnsi="Arial" w:cs="Arial"/>
        </w:rPr>
      </w:pPr>
      <w:r w:rsidRPr="009938FE">
        <w:rPr>
          <w:rFonts w:ascii="Arial" w:hAnsi="Arial" w:cs="Arial"/>
        </w:rPr>
        <w:t xml:space="preserve">A 2020. évi be nem fizetett idegenforgalmi adót pótló állami támogatás igénylésére zárszámadásig volt lehetőség, ezért 2021. év elején az idegenforgalmi adó nyilvántartó könyvek záradékolásakor </w:t>
      </w:r>
      <w:r>
        <w:rPr>
          <w:rFonts w:ascii="Arial" w:hAnsi="Arial" w:cs="Arial"/>
        </w:rPr>
        <w:t>megvizsgálásra került</w:t>
      </w:r>
      <w:r w:rsidRPr="009938FE">
        <w:rPr>
          <w:rFonts w:ascii="Arial" w:hAnsi="Arial" w:cs="Arial"/>
        </w:rPr>
        <w:t>, hogy minden könyvben szereplő</w:t>
      </w:r>
      <w:r>
        <w:rPr>
          <w:rFonts w:ascii="Arial" w:hAnsi="Arial" w:cs="Arial"/>
        </w:rPr>
        <w:t>,</w:t>
      </w:r>
      <w:r w:rsidRPr="009938FE">
        <w:rPr>
          <w:rFonts w:ascii="Arial" w:hAnsi="Arial" w:cs="Arial"/>
        </w:rPr>
        <w:t xml:space="preserve"> 2020. év adott hónapjaira vonatkozó bevallás beérkezett-e</w:t>
      </w:r>
      <w:r>
        <w:rPr>
          <w:rFonts w:ascii="Arial" w:hAnsi="Arial" w:cs="Arial"/>
        </w:rPr>
        <w:t>.</w:t>
      </w:r>
      <w:r w:rsidRPr="009938FE">
        <w:rPr>
          <w:rFonts w:ascii="Arial" w:hAnsi="Arial" w:cs="Arial"/>
        </w:rPr>
        <w:t xml:space="preserve"> </w:t>
      </w:r>
      <w:r w:rsidRPr="009401C3">
        <w:rPr>
          <w:rFonts w:ascii="Arial" w:hAnsi="Arial" w:cs="Arial"/>
        </w:rPr>
        <w:t xml:space="preserve">Az adózók felhívásra kerültek a hiányosságok pótlására, illetve eltérés esetén önellenőrzésre. </w:t>
      </w:r>
      <w:r w:rsidRPr="009938FE">
        <w:rPr>
          <w:rFonts w:ascii="Arial" w:hAnsi="Arial" w:cs="Arial"/>
        </w:rPr>
        <w:t>A szállásadók nyilvántartás</w:t>
      </w:r>
      <w:r>
        <w:rPr>
          <w:rFonts w:ascii="Arial" w:hAnsi="Arial" w:cs="Arial"/>
        </w:rPr>
        <w:t>a</w:t>
      </w:r>
      <w:r w:rsidRPr="009938FE">
        <w:rPr>
          <w:rFonts w:ascii="Arial" w:hAnsi="Arial" w:cs="Arial"/>
        </w:rPr>
        <w:t xml:space="preserve"> a kialakult gyakorlatnak megfelelően </w:t>
      </w:r>
      <w:r>
        <w:rPr>
          <w:rFonts w:ascii="Arial" w:hAnsi="Arial" w:cs="Arial"/>
        </w:rPr>
        <w:t>összevetésre került</w:t>
      </w:r>
      <w:r w:rsidRPr="009938FE">
        <w:rPr>
          <w:rFonts w:ascii="Arial" w:hAnsi="Arial" w:cs="Arial"/>
        </w:rPr>
        <w:t xml:space="preserve"> az idegenforgalmi adóbevallásokkal a szálláshely portálok vendégvéleményeivel. </w:t>
      </w:r>
    </w:p>
    <w:p w:rsidR="009E5644" w:rsidRPr="009938FE" w:rsidRDefault="009E5644" w:rsidP="009E5644">
      <w:pPr>
        <w:contextualSpacing/>
        <w:jc w:val="both"/>
        <w:rPr>
          <w:rFonts w:ascii="Arial" w:hAnsi="Arial" w:cs="Arial"/>
        </w:rPr>
      </w:pPr>
      <w:r w:rsidRPr="009938FE">
        <w:rPr>
          <w:rFonts w:ascii="Arial" w:hAnsi="Arial" w:cs="Arial"/>
        </w:rPr>
        <w:t>Az ellenőrzések és a záradékolás során összesen 92 db építményadóbevallás hiány került feltárásra.</w:t>
      </w:r>
    </w:p>
    <w:p w:rsidR="00A55050" w:rsidRPr="007874CC" w:rsidRDefault="00A55050" w:rsidP="00F921C6">
      <w:pPr>
        <w:spacing w:after="0"/>
        <w:jc w:val="both"/>
        <w:rPr>
          <w:rFonts w:ascii="Arial" w:hAnsi="Arial" w:cs="Arial"/>
          <w:b/>
          <w:iCs/>
          <w:color w:val="7030A0"/>
        </w:rPr>
      </w:pPr>
    </w:p>
    <w:p w:rsidR="00334062" w:rsidRPr="00854513" w:rsidRDefault="00334062" w:rsidP="00974D54">
      <w:pPr>
        <w:numPr>
          <w:ilvl w:val="0"/>
          <w:numId w:val="2"/>
        </w:numPr>
        <w:spacing w:after="0"/>
        <w:ind w:left="851" w:hanging="284"/>
        <w:jc w:val="both"/>
        <w:rPr>
          <w:rFonts w:ascii="Arial" w:hAnsi="Arial" w:cs="Arial"/>
          <w:b/>
          <w:iCs/>
        </w:rPr>
      </w:pPr>
      <w:r w:rsidRPr="00854513">
        <w:rPr>
          <w:rFonts w:ascii="Arial" w:hAnsi="Arial" w:cs="Arial"/>
          <w:b/>
          <w:iCs/>
        </w:rPr>
        <w:t>Jogorvoslati eljárás</w:t>
      </w:r>
    </w:p>
    <w:p w:rsidR="00FB0978" w:rsidRPr="003064B0" w:rsidRDefault="00FB0978" w:rsidP="00F921C6">
      <w:pPr>
        <w:spacing w:after="0"/>
        <w:jc w:val="both"/>
        <w:rPr>
          <w:rFonts w:ascii="Arial" w:hAnsi="Arial" w:cs="Arial"/>
          <w:b/>
          <w:iCs/>
          <w:color w:val="7030A0"/>
        </w:rPr>
      </w:pPr>
    </w:p>
    <w:p w:rsidR="00FB0978" w:rsidRPr="004956F5" w:rsidRDefault="00FB0978" w:rsidP="00F921C6">
      <w:pPr>
        <w:spacing w:after="0"/>
        <w:jc w:val="both"/>
        <w:rPr>
          <w:rFonts w:ascii="Arial" w:hAnsi="Arial" w:cs="Arial"/>
          <w:iCs/>
        </w:rPr>
      </w:pPr>
      <w:r w:rsidRPr="004956F5">
        <w:rPr>
          <w:rFonts w:ascii="Arial" w:hAnsi="Arial" w:cs="Arial"/>
          <w:iCs/>
        </w:rPr>
        <w:t xml:space="preserve">Az osztályon végzett munka jogszerűségét nagymértékben alátámasztja, hogy a kibocsátott határozatok ellen </w:t>
      </w:r>
      <w:r w:rsidR="003064B0" w:rsidRPr="004956F5">
        <w:rPr>
          <w:rFonts w:ascii="Arial" w:hAnsi="Arial" w:cs="Arial"/>
          <w:iCs/>
        </w:rPr>
        <w:t>20</w:t>
      </w:r>
      <w:r w:rsidR="009A4134" w:rsidRPr="004956F5">
        <w:rPr>
          <w:rFonts w:ascii="Arial" w:hAnsi="Arial" w:cs="Arial"/>
          <w:iCs/>
        </w:rPr>
        <w:t>2</w:t>
      </w:r>
      <w:r w:rsidR="005F1647" w:rsidRPr="004956F5">
        <w:rPr>
          <w:rFonts w:ascii="Arial" w:hAnsi="Arial" w:cs="Arial"/>
          <w:iCs/>
        </w:rPr>
        <w:t>1</w:t>
      </w:r>
      <w:r w:rsidR="003064B0" w:rsidRPr="004956F5">
        <w:rPr>
          <w:rFonts w:ascii="Arial" w:hAnsi="Arial" w:cs="Arial"/>
          <w:iCs/>
        </w:rPr>
        <w:t xml:space="preserve">. évben </w:t>
      </w:r>
      <w:r w:rsidR="00465B21" w:rsidRPr="004956F5">
        <w:rPr>
          <w:rFonts w:ascii="Arial" w:hAnsi="Arial" w:cs="Arial"/>
          <w:iCs/>
        </w:rPr>
        <w:t>3</w:t>
      </w:r>
      <w:r w:rsidR="00583457" w:rsidRPr="004956F5">
        <w:rPr>
          <w:rFonts w:ascii="Arial" w:hAnsi="Arial" w:cs="Arial"/>
          <w:iCs/>
        </w:rPr>
        <w:t xml:space="preserve"> </w:t>
      </w:r>
      <w:r w:rsidR="005F1647" w:rsidRPr="004956F5">
        <w:rPr>
          <w:rFonts w:ascii="Arial" w:hAnsi="Arial" w:cs="Arial"/>
          <w:iCs/>
        </w:rPr>
        <w:t>ügyben</w:t>
      </w:r>
      <w:r w:rsidR="003064B0" w:rsidRPr="004956F5">
        <w:rPr>
          <w:rFonts w:ascii="Arial" w:hAnsi="Arial" w:cs="Arial"/>
          <w:iCs/>
        </w:rPr>
        <w:t xml:space="preserve"> </w:t>
      </w:r>
      <w:r w:rsidR="00A4398F" w:rsidRPr="004956F5">
        <w:rPr>
          <w:rFonts w:ascii="Arial" w:hAnsi="Arial" w:cs="Arial"/>
          <w:iCs/>
        </w:rPr>
        <w:t>nyújtottak be fellebbezést, ebből</w:t>
      </w:r>
      <w:r w:rsidR="00465B21" w:rsidRPr="004956F5">
        <w:rPr>
          <w:rFonts w:ascii="Arial" w:hAnsi="Arial" w:cs="Arial"/>
          <w:iCs/>
        </w:rPr>
        <w:t xml:space="preserve"> </w:t>
      </w:r>
      <w:r w:rsidR="005F1647" w:rsidRPr="004956F5">
        <w:rPr>
          <w:rFonts w:ascii="Arial" w:hAnsi="Arial" w:cs="Arial"/>
        </w:rPr>
        <w:t>2</w:t>
      </w:r>
      <w:r w:rsidR="00465B21" w:rsidRPr="004956F5">
        <w:rPr>
          <w:rFonts w:ascii="Arial" w:hAnsi="Arial" w:cs="Arial"/>
        </w:rPr>
        <w:t xml:space="preserve"> esetben a hagyatéki eljáráshoz kiadott adó- és értékbizonyítván</w:t>
      </w:r>
      <w:r w:rsidR="008B5D17" w:rsidRPr="004956F5">
        <w:rPr>
          <w:rFonts w:ascii="Arial" w:hAnsi="Arial" w:cs="Arial"/>
        </w:rPr>
        <w:t>y</w:t>
      </w:r>
      <w:r w:rsidR="00465B21" w:rsidRPr="004956F5">
        <w:rPr>
          <w:rFonts w:ascii="Arial" w:hAnsi="Arial" w:cs="Arial"/>
        </w:rPr>
        <w:t xml:space="preserve">, </w:t>
      </w:r>
      <w:r w:rsidR="005F1647" w:rsidRPr="004956F5">
        <w:rPr>
          <w:rFonts w:ascii="Arial" w:hAnsi="Arial" w:cs="Arial"/>
        </w:rPr>
        <w:t>1</w:t>
      </w:r>
      <w:r w:rsidR="00465B21" w:rsidRPr="004956F5">
        <w:rPr>
          <w:rFonts w:ascii="Arial" w:hAnsi="Arial" w:cs="Arial"/>
        </w:rPr>
        <w:t xml:space="preserve"> esetben építményadó </w:t>
      </w:r>
      <w:r w:rsidR="00A4398F" w:rsidRPr="004956F5">
        <w:rPr>
          <w:rFonts w:ascii="Arial" w:hAnsi="Arial" w:cs="Arial"/>
          <w:iCs/>
        </w:rPr>
        <w:t>megállapítás</w:t>
      </w:r>
      <w:r w:rsidR="00465B21" w:rsidRPr="004956F5">
        <w:rPr>
          <w:rFonts w:ascii="Arial" w:hAnsi="Arial" w:cs="Arial"/>
          <w:iCs/>
        </w:rPr>
        <w:t>a</w:t>
      </w:r>
      <w:r w:rsidR="00A4398F" w:rsidRPr="004956F5">
        <w:rPr>
          <w:rFonts w:ascii="Arial" w:hAnsi="Arial" w:cs="Arial"/>
          <w:iCs/>
        </w:rPr>
        <w:t xml:space="preserve"> miatt került fellebbezés </w:t>
      </w:r>
      <w:r w:rsidR="00DE277E">
        <w:rPr>
          <w:rFonts w:ascii="Arial" w:hAnsi="Arial" w:cs="Arial"/>
          <w:iCs/>
        </w:rPr>
        <w:t>eljárásra</w:t>
      </w:r>
      <w:r w:rsidR="00465B21" w:rsidRPr="004956F5">
        <w:rPr>
          <w:rFonts w:ascii="Arial" w:hAnsi="Arial" w:cs="Arial"/>
          <w:iCs/>
        </w:rPr>
        <w:t>.</w:t>
      </w:r>
    </w:p>
    <w:p w:rsidR="00CF3C06" w:rsidRDefault="00CF3C06" w:rsidP="00F921C6">
      <w:pPr>
        <w:spacing w:after="0"/>
        <w:jc w:val="both"/>
        <w:rPr>
          <w:rFonts w:ascii="Arial" w:hAnsi="Arial" w:cs="Arial"/>
          <w:iCs/>
        </w:rPr>
      </w:pPr>
    </w:p>
    <w:p w:rsidR="008B5D17" w:rsidRPr="004956F5" w:rsidRDefault="004956F5" w:rsidP="00F921C6">
      <w:pPr>
        <w:spacing w:after="0"/>
        <w:jc w:val="both"/>
        <w:rPr>
          <w:rFonts w:ascii="Arial" w:hAnsi="Arial" w:cs="Arial"/>
          <w:iCs/>
        </w:rPr>
      </w:pPr>
      <w:r w:rsidRPr="004956F5">
        <w:rPr>
          <w:rFonts w:ascii="Arial" w:hAnsi="Arial" w:cs="Arial"/>
          <w:iCs/>
        </w:rPr>
        <w:t xml:space="preserve">A két </w:t>
      </w:r>
      <w:r w:rsidR="00081E2A">
        <w:rPr>
          <w:rFonts w:ascii="Arial" w:hAnsi="Arial" w:cs="Arial"/>
          <w:iCs/>
        </w:rPr>
        <w:t xml:space="preserve">hagyaték ügyében keletkezett </w:t>
      </w:r>
      <w:r w:rsidRPr="004956F5">
        <w:rPr>
          <w:rFonts w:ascii="Arial" w:hAnsi="Arial" w:cs="Arial"/>
          <w:iCs/>
        </w:rPr>
        <w:t xml:space="preserve">adó és értékbizonyítványban szereplő összesen 9 ingatlan értékét a másodfokú </w:t>
      </w:r>
      <w:r w:rsidR="008B5D17" w:rsidRPr="004956F5">
        <w:rPr>
          <w:rFonts w:ascii="Arial" w:hAnsi="Arial" w:cs="Arial"/>
          <w:iCs/>
        </w:rPr>
        <w:t xml:space="preserve">Zala Megyei Kormányhivatal </w:t>
      </w:r>
      <w:r w:rsidR="00496C66">
        <w:rPr>
          <w:rFonts w:ascii="Arial" w:hAnsi="Arial" w:cs="Arial"/>
          <w:iCs/>
        </w:rPr>
        <w:t>Ható</w:t>
      </w:r>
      <w:r w:rsidR="00DE277E">
        <w:rPr>
          <w:rFonts w:ascii="Arial" w:hAnsi="Arial" w:cs="Arial"/>
          <w:iCs/>
        </w:rPr>
        <w:t>sá</w:t>
      </w:r>
      <w:r w:rsidR="00496C66">
        <w:rPr>
          <w:rFonts w:ascii="Arial" w:hAnsi="Arial" w:cs="Arial"/>
          <w:iCs/>
        </w:rPr>
        <w:t>gi Főosztály Hatósági és Oktatási Osztály</w:t>
      </w:r>
      <w:r w:rsidR="00DE277E">
        <w:rPr>
          <w:rFonts w:ascii="Arial" w:hAnsi="Arial" w:cs="Arial"/>
          <w:iCs/>
        </w:rPr>
        <w:t>a</w:t>
      </w:r>
      <w:r w:rsidR="00496C66">
        <w:rPr>
          <w:rFonts w:ascii="Arial" w:hAnsi="Arial" w:cs="Arial"/>
          <w:iCs/>
        </w:rPr>
        <w:t xml:space="preserve"> </w:t>
      </w:r>
      <w:r w:rsidR="008B5D17" w:rsidRPr="004956F5">
        <w:rPr>
          <w:rFonts w:ascii="Arial" w:hAnsi="Arial" w:cs="Arial"/>
          <w:iCs/>
        </w:rPr>
        <w:t>megváltoztatta</w:t>
      </w:r>
      <w:r w:rsidRPr="004956F5">
        <w:rPr>
          <w:rFonts w:ascii="Arial" w:hAnsi="Arial" w:cs="Arial"/>
          <w:iCs/>
        </w:rPr>
        <w:t xml:space="preserve">, azok értékeit igazságügyi szakértői képesítéssel rendelkező ügyintézők bevonásával állapította meg. </w:t>
      </w:r>
      <w:r>
        <w:rPr>
          <w:rFonts w:ascii="Arial" w:hAnsi="Arial" w:cs="Arial"/>
          <w:iCs/>
        </w:rPr>
        <w:t>Meg kívánom jegyezni, hogy a</w:t>
      </w:r>
      <w:r w:rsidRPr="004956F5">
        <w:rPr>
          <w:rFonts w:ascii="Arial" w:hAnsi="Arial" w:cs="Arial"/>
          <w:iCs/>
        </w:rPr>
        <w:t xml:space="preserve"> hatóságunk által megállapított összegeket szinte minden esetben csekély</w:t>
      </w:r>
      <w:r w:rsidR="00DE277E">
        <w:rPr>
          <w:rFonts w:ascii="Arial" w:hAnsi="Arial" w:cs="Arial"/>
          <w:iCs/>
        </w:rPr>
        <w:t>,</w:t>
      </w:r>
      <w:r w:rsidRPr="004956F5">
        <w:rPr>
          <w:rFonts w:ascii="Arial" w:hAnsi="Arial" w:cs="Arial"/>
          <w:iCs/>
        </w:rPr>
        <w:t xml:space="preserve"> pár százalékos forgalmi érték</w:t>
      </w:r>
      <w:r>
        <w:rPr>
          <w:rFonts w:ascii="Arial" w:hAnsi="Arial" w:cs="Arial"/>
          <w:iCs/>
        </w:rPr>
        <w:t xml:space="preserve"> </w:t>
      </w:r>
      <w:proofErr w:type="gramStart"/>
      <w:r>
        <w:rPr>
          <w:rFonts w:ascii="Arial" w:hAnsi="Arial" w:cs="Arial"/>
          <w:iCs/>
        </w:rPr>
        <w:t xml:space="preserve">eltéréssel </w:t>
      </w:r>
      <w:r w:rsidRPr="004956F5">
        <w:rPr>
          <w:rFonts w:ascii="Arial" w:hAnsi="Arial" w:cs="Arial"/>
          <w:iCs/>
        </w:rPr>
        <w:t xml:space="preserve"> állapította</w:t>
      </w:r>
      <w:proofErr w:type="gramEnd"/>
      <w:r w:rsidRPr="004956F5">
        <w:rPr>
          <w:rFonts w:ascii="Arial" w:hAnsi="Arial" w:cs="Arial"/>
          <w:iCs/>
        </w:rPr>
        <w:t xml:space="preserve"> meg a másodfokú hatóság.</w:t>
      </w:r>
    </w:p>
    <w:p w:rsidR="004563DA" w:rsidRPr="004956F5" w:rsidRDefault="004563DA" w:rsidP="00F921C6">
      <w:pPr>
        <w:spacing w:after="0"/>
        <w:jc w:val="both"/>
        <w:rPr>
          <w:rFonts w:ascii="Arial" w:hAnsi="Arial" w:cs="Arial"/>
          <w:iCs/>
        </w:rPr>
      </w:pPr>
    </w:p>
    <w:p w:rsidR="00B47029" w:rsidRDefault="00B47029" w:rsidP="00F921C6">
      <w:pPr>
        <w:spacing w:after="0"/>
        <w:jc w:val="both"/>
        <w:rPr>
          <w:rFonts w:ascii="Arial" w:hAnsi="Arial" w:cs="Arial"/>
          <w:iCs/>
        </w:rPr>
      </w:pPr>
      <w:r w:rsidRPr="004956F5">
        <w:rPr>
          <w:rFonts w:ascii="Arial" w:hAnsi="Arial" w:cs="Arial"/>
          <w:iCs/>
        </w:rPr>
        <w:t xml:space="preserve">Építményadó </w:t>
      </w:r>
      <w:r w:rsidR="002860D4" w:rsidRPr="004956F5">
        <w:rPr>
          <w:rFonts w:ascii="Arial" w:hAnsi="Arial" w:cs="Arial"/>
          <w:iCs/>
        </w:rPr>
        <w:t>kötelezettséget megállapító</w:t>
      </w:r>
      <w:r w:rsidRPr="004956F5">
        <w:rPr>
          <w:rFonts w:ascii="Arial" w:hAnsi="Arial" w:cs="Arial"/>
          <w:iCs/>
        </w:rPr>
        <w:t xml:space="preserve"> határozatunk ellen 1 </w:t>
      </w:r>
      <w:r w:rsidR="00DE277E">
        <w:rPr>
          <w:rFonts w:ascii="Arial" w:hAnsi="Arial" w:cs="Arial"/>
          <w:iCs/>
        </w:rPr>
        <w:t>fellebbezés került benyújtásra.</w:t>
      </w:r>
      <w:r w:rsidRPr="004956F5">
        <w:rPr>
          <w:rFonts w:ascii="Arial" w:hAnsi="Arial" w:cs="Arial"/>
          <w:iCs/>
        </w:rPr>
        <w:t xml:space="preserve"> </w:t>
      </w:r>
      <w:r w:rsidR="00DE277E">
        <w:rPr>
          <w:rFonts w:ascii="Arial" w:hAnsi="Arial" w:cs="Arial"/>
          <w:iCs/>
        </w:rPr>
        <w:t>Döntésünk</w:t>
      </w:r>
      <w:r w:rsidR="004956F5">
        <w:rPr>
          <w:rFonts w:ascii="Arial" w:hAnsi="Arial" w:cs="Arial"/>
          <w:iCs/>
        </w:rPr>
        <w:t xml:space="preserve"> megváltoztatására </w:t>
      </w:r>
      <w:r w:rsidR="00DE277E">
        <w:rPr>
          <w:rFonts w:ascii="Arial" w:hAnsi="Arial" w:cs="Arial"/>
          <w:iCs/>
        </w:rPr>
        <w:t xml:space="preserve">az </w:t>
      </w:r>
      <w:r w:rsidR="004956F5">
        <w:rPr>
          <w:rFonts w:ascii="Arial" w:hAnsi="Arial" w:cs="Arial"/>
          <w:iCs/>
        </w:rPr>
        <w:t xml:space="preserve">indokolásában </w:t>
      </w:r>
      <w:proofErr w:type="spellStart"/>
      <w:r w:rsidR="004956F5">
        <w:rPr>
          <w:rFonts w:ascii="Arial" w:hAnsi="Arial" w:cs="Arial"/>
          <w:iCs/>
        </w:rPr>
        <w:t>elírt</w:t>
      </w:r>
      <w:proofErr w:type="spellEnd"/>
      <w:r w:rsidR="004956F5">
        <w:rPr>
          <w:rFonts w:ascii="Arial" w:hAnsi="Arial" w:cs="Arial"/>
          <w:iCs/>
        </w:rPr>
        <w:t xml:space="preserve"> dátum miatt került sor, egyéb részei a határozatnak változatlanul hatályban maradtak.</w:t>
      </w:r>
    </w:p>
    <w:p w:rsidR="00B47029" w:rsidRDefault="00B47029" w:rsidP="00F921C6">
      <w:pPr>
        <w:spacing w:after="0"/>
        <w:jc w:val="both"/>
        <w:rPr>
          <w:rFonts w:ascii="Arial" w:hAnsi="Arial" w:cs="Arial"/>
          <w:iCs/>
        </w:rPr>
      </w:pPr>
    </w:p>
    <w:p w:rsidR="00FE24C8" w:rsidRDefault="008B5D17" w:rsidP="000443EA">
      <w:pPr>
        <w:spacing w:after="0"/>
        <w:jc w:val="both"/>
        <w:rPr>
          <w:rFonts w:ascii="Arial" w:hAnsi="Arial" w:cs="Arial"/>
          <w:b/>
        </w:rPr>
      </w:pPr>
      <w:r>
        <w:rPr>
          <w:rFonts w:ascii="Arial" w:hAnsi="Arial" w:cs="Arial"/>
          <w:iCs/>
        </w:rPr>
        <w:t xml:space="preserve"> </w:t>
      </w:r>
      <w:r w:rsidR="00FE24C8" w:rsidRPr="004D4BE5">
        <w:rPr>
          <w:rFonts w:ascii="Arial" w:hAnsi="Arial" w:cs="Arial"/>
          <w:b/>
        </w:rPr>
        <w:t>Ellenőrzések</w:t>
      </w:r>
      <w:r w:rsidR="006B1542" w:rsidRPr="004D4BE5">
        <w:rPr>
          <w:rFonts w:ascii="Arial" w:hAnsi="Arial" w:cs="Arial"/>
          <w:b/>
        </w:rPr>
        <w:t xml:space="preserve"> külső szervek részéről</w:t>
      </w:r>
    </w:p>
    <w:p w:rsidR="000443EA" w:rsidRPr="004D4BE5" w:rsidRDefault="000443EA" w:rsidP="000443EA">
      <w:pPr>
        <w:spacing w:after="0"/>
        <w:jc w:val="both"/>
        <w:rPr>
          <w:rFonts w:ascii="Arial" w:hAnsi="Arial" w:cs="Arial"/>
          <w:b/>
        </w:rPr>
      </w:pPr>
    </w:p>
    <w:p w:rsidR="00DD2B7A" w:rsidRDefault="00DD2B7A" w:rsidP="00DD2B7A">
      <w:pPr>
        <w:jc w:val="both"/>
        <w:rPr>
          <w:rFonts w:ascii="Arial" w:hAnsi="Arial" w:cs="Arial"/>
        </w:rPr>
      </w:pPr>
      <w:r w:rsidRPr="00DD2B7A">
        <w:rPr>
          <w:rFonts w:ascii="Arial" w:hAnsi="Arial" w:cs="Arial"/>
        </w:rPr>
        <w:t>A felügyeleti szervek részéről 20</w:t>
      </w:r>
      <w:r w:rsidR="00673BA4">
        <w:rPr>
          <w:rFonts w:ascii="Arial" w:hAnsi="Arial" w:cs="Arial"/>
        </w:rPr>
        <w:t>21</w:t>
      </w:r>
      <w:r w:rsidRPr="00DD2B7A">
        <w:rPr>
          <w:rFonts w:ascii="Arial" w:hAnsi="Arial" w:cs="Arial"/>
        </w:rPr>
        <w:t xml:space="preserve">. évben nem került ellenőrzés lefolytatásra. </w:t>
      </w:r>
    </w:p>
    <w:p w:rsidR="00854726" w:rsidRPr="002D20D3" w:rsidRDefault="009B6B70" w:rsidP="00484847">
      <w:pPr>
        <w:pStyle w:val="Listaszerbekezds"/>
        <w:numPr>
          <w:ilvl w:val="0"/>
          <w:numId w:val="2"/>
        </w:numPr>
        <w:spacing w:after="0"/>
        <w:jc w:val="both"/>
        <w:rPr>
          <w:rFonts w:ascii="Arial" w:hAnsi="Arial" w:cs="Arial"/>
          <w:b/>
          <w:iCs/>
        </w:rPr>
      </w:pPr>
      <w:r w:rsidRPr="002D20D3">
        <w:rPr>
          <w:rFonts w:ascii="Arial" w:hAnsi="Arial" w:cs="Arial"/>
          <w:b/>
          <w:iCs/>
        </w:rPr>
        <w:t xml:space="preserve">Aktualitás </w:t>
      </w:r>
    </w:p>
    <w:p w:rsidR="000E5BA6" w:rsidRPr="002D20D3" w:rsidRDefault="000E5BA6" w:rsidP="00F921C6">
      <w:pPr>
        <w:spacing w:after="0"/>
        <w:jc w:val="both"/>
        <w:rPr>
          <w:rFonts w:ascii="Arial" w:hAnsi="Arial" w:cs="Arial"/>
          <w:b/>
          <w:iCs/>
        </w:rPr>
      </w:pPr>
    </w:p>
    <w:p w:rsidR="0081117C" w:rsidRPr="002D20D3" w:rsidRDefault="001101F2" w:rsidP="00F921C6">
      <w:pPr>
        <w:tabs>
          <w:tab w:val="center" w:pos="7088"/>
          <w:tab w:val="left" w:pos="7788"/>
          <w:tab w:val="left" w:pos="8496"/>
        </w:tabs>
        <w:suppressAutoHyphens/>
        <w:spacing w:after="0"/>
        <w:jc w:val="both"/>
        <w:rPr>
          <w:rFonts w:ascii="Arial" w:hAnsi="Arial" w:cs="Arial"/>
          <w:iCs/>
        </w:rPr>
      </w:pPr>
      <w:r w:rsidRPr="00CC0157">
        <w:rPr>
          <w:rFonts w:ascii="Arial" w:hAnsi="Arial" w:cs="Arial"/>
          <w:iCs/>
          <w:u w:val="single"/>
        </w:rPr>
        <w:t>Jegyzői összefoglaló:</w:t>
      </w:r>
      <w:r w:rsidR="00C04A3B" w:rsidRPr="002D20D3">
        <w:rPr>
          <w:rFonts w:ascii="Arial" w:hAnsi="Arial" w:cs="Arial"/>
          <w:iCs/>
        </w:rPr>
        <w:t xml:space="preserve"> </w:t>
      </w:r>
      <w:r w:rsidR="0081117C" w:rsidRPr="002D20D3">
        <w:rPr>
          <w:rFonts w:ascii="Arial" w:hAnsi="Arial" w:cs="Arial"/>
          <w:iCs/>
        </w:rPr>
        <w:t>a 202</w:t>
      </w:r>
      <w:r w:rsidR="00DD2B7A" w:rsidRPr="002D20D3">
        <w:rPr>
          <w:rFonts w:ascii="Arial" w:hAnsi="Arial" w:cs="Arial"/>
          <w:iCs/>
        </w:rPr>
        <w:t>1</w:t>
      </w:r>
      <w:r w:rsidR="0081117C" w:rsidRPr="002D20D3">
        <w:rPr>
          <w:rFonts w:ascii="Arial" w:hAnsi="Arial" w:cs="Arial"/>
          <w:iCs/>
        </w:rPr>
        <w:t xml:space="preserve">. év adóigazgatási tevékenységében és </w:t>
      </w:r>
      <w:r w:rsidR="00567512" w:rsidRPr="002D20D3">
        <w:rPr>
          <w:rFonts w:ascii="Arial" w:hAnsi="Arial" w:cs="Arial"/>
          <w:iCs/>
        </w:rPr>
        <w:t xml:space="preserve">az </w:t>
      </w:r>
      <w:r w:rsidR="0081117C" w:rsidRPr="002D20D3">
        <w:rPr>
          <w:rFonts w:ascii="Arial" w:hAnsi="Arial" w:cs="Arial"/>
          <w:iCs/>
        </w:rPr>
        <w:t xml:space="preserve">adóbevételeink alakulásában a </w:t>
      </w:r>
      <w:r w:rsidR="00DD2B7A" w:rsidRPr="002D20D3">
        <w:rPr>
          <w:rFonts w:ascii="Arial" w:hAnsi="Arial" w:cs="Arial"/>
          <w:iCs/>
        </w:rPr>
        <w:t>veszély- és járványhelyzet</w:t>
      </w:r>
      <w:r w:rsidR="00567512" w:rsidRPr="002D20D3">
        <w:rPr>
          <w:rFonts w:ascii="Arial" w:hAnsi="Arial" w:cs="Arial"/>
          <w:iCs/>
        </w:rPr>
        <w:t xml:space="preserve"> gazdasági</w:t>
      </w:r>
      <w:r w:rsidR="0081117C" w:rsidRPr="002D20D3">
        <w:rPr>
          <w:rFonts w:ascii="Arial" w:hAnsi="Arial" w:cs="Arial"/>
          <w:iCs/>
        </w:rPr>
        <w:t xml:space="preserve"> hatása játszotta a legnagyobb szerepet. </w:t>
      </w:r>
    </w:p>
    <w:p w:rsidR="00603995" w:rsidRPr="002D20D3" w:rsidRDefault="00603995" w:rsidP="00F921C6">
      <w:pPr>
        <w:tabs>
          <w:tab w:val="center" w:pos="7088"/>
          <w:tab w:val="left" w:pos="7788"/>
          <w:tab w:val="left" w:pos="8496"/>
        </w:tabs>
        <w:suppressAutoHyphens/>
        <w:spacing w:after="0"/>
        <w:jc w:val="both"/>
        <w:rPr>
          <w:rFonts w:ascii="Arial" w:hAnsi="Arial" w:cs="Arial"/>
          <w:iCs/>
        </w:rPr>
      </w:pPr>
      <w:r w:rsidRPr="002D20D3">
        <w:rPr>
          <w:rFonts w:ascii="Arial" w:hAnsi="Arial" w:cs="Arial"/>
          <w:iCs/>
        </w:rPr>
        <w:t xml:space="preserve">Az adóigazgatásban dolgozók </w:t>
      </w:r>
      <w:r w:rsidR="00772B79" w:rsidRPr="002D20D3">
        <w:rPr>
          <w:rFonts w:ascii="Arial" w:hAnsi="Arial" w:cs="Arial"/>
          <w:iCs/>
        </w:rPr>
        <w:t>még nagyobb figyelmet fordítottak a bevételek realizálására, az ellenőrzési tevékenységre, a hátralékok csökkentésére tett intézkedésekre</w:t>
      </w:r>
      <w:r w:rsidR="005D1106" w:rsidRPr="002D20D3">
        <w:rPr>
          <w:rFonts w:ascii="Arial" w:hAnsi="Arial" w:cs="Arial"/>
          <w:iCs/>
        </w:rPr>
        <w:t>,</w:t>
      </w:r>
      <w:r w:rsidR="00772B79" w:rsidRPr="002D20D3">
        <w:rPr>
          <w:rFonts w:ascii="Arial" w:hAnsi="Arial" w:cs="Arial"/>
          <w:iCs/>
        </w:rPr>
        <w:t xml:space="preserve"> mindezek hozzájárultak ahhoz, hogy adóbevételeink jelen gazdasági környezetben is részben teljesültek.</w:t>
      </w:r>
    </w:p>
    <w:p w:rsidR="00B47029" w:rsidRPr="002D20D3" w:rsidRDefault="00B47029" w:rsidP="00F921C6">
      <w:pPr>
        <w:tabs>
          <w:tab w:val="center" w:pos="7088"/>
          <w:tab w:val="left" w:pos="7788"/>
          <w:tab w:val="left" w:pos="8496"/>
        </w:tabs>
        <w:suppressAutoHyphens/>
        <w:spacing w:after="0"/>
        <w:jc w:val="both"/>
        <w:rPr>
          <w:rFonts w:ascii="Arial" w:hAnsi="Arial" w:cs="Arial"/>
          <w:iCs/>
        </w:rPr>
      </w:pPr>
    </w:p>
    <w:p w:rsidR="00DD2B7A" w:rsidRPr="002D20D3" w:rsidRDefault="00DD2B7A" w:rsidP="00F921C6">
      <w:pPr>
        <w:tabs>
          <w:tab w:val="center" w:pos="7088"/>
          <w:tab w:val="left" w:pos="7788"/>
          <w:tab w:val="left" w:pos="8496"/>
        </w:tabs>
        <w:suppressAutoHyphens/>
        <w:spacing w:after="0"/>
        <w:jc w:val="both"/>
        <w:rPr>
          <w:rFonts w:ascii="Arial" w:hAnsi="Arial" w:cs="Arial"/>
          <w:iCs/>
        </w:rPr>
      </w:pPr>
      <w:r w:rsidRPr="002D20D3">
        <w:rPr>
          <w:rFonts w:ascii="Arial" w:hAnsi="Arial" w:cs="Arial"/>
          <w:iCs/>
        </w:rPr>
        <w:t xml:space="preserve">Mivel építményadó rendszerünk </w:t>
      </w:r>
      <w:r w:rsidR="00673BA4" w:rsidRPr="002D20D3">
        <w:rPr>
          <w:rFonts w:ascii="Arial" w:hAnsi="Arial" w:cs="Arial"/>
          <w:iCs/>
        </w:rPr>
        <w:t>átszabását a jogszabályi környezet immár két éve nem tette lehetővé, ezért továbbra is kiemelt cél az adórendelet koncepciójának megalkotása.</w:t>
      </w:r>
    </w:p>
    <w:p w:rsidR="001101F2" w:rsidRPr="002D20D3" w:rsidRDefault="001101F2" w:rsidP="00F921C6">
      <w:pPr>
        <w:tabs>
          <w:tab w:val="center" w:pos="7088"/>
          <w:tab w:val="left" w:pos="7788"/>
          <w:tab w:val="left" w:pos="8496"/>
        </w:tabs>
        <w:suppressAutoHyphens/>
        <w:spacing w:after="0"/>
        <w:jc w:val="both"/>
        <w:rPr>
          <w:rFonts w:ascii="Arial" w:hAnsi="Arial" w:cs="Arial"/>
          <w:b/>
          <w:iCs/>
        </w:rPr>
      </w:pPr>
    </w:p>
    <w:p w:rsidR="00F2142D" w:rsidRDefault="00AC0513" w:rsidP="00F921C6">
      <w:pPr>
        <w:tabs>
          <w:tab w:val="center" w:pos="7088"/>
          <w:tab w:val="left" w:pos="7788"/>
          <w:tab w:val="left" w:pos="8496"/>
        </w:tabs>
        <w:suppressAutoHyphens/>
        <w:spacing w:after="0"/>
        <w:jc w:val="both"/>
        <w:rPr>
          <w:rFonts w:ascii="Arial" w:hAnsi="Arial" w:cs="Arial"/>
          <w:iCs/>
        </w:rPr>
      </w:pPr>
      <w:r w:rsidRPr="002D20D3">
        <w:rPr>
          <w:rFonts w:ascii="Arial" w:hAnsi="Arial" w:cs="Arial"/>
          <w:iCs/>
        </w:rPr>
        <w:t>A beszámoló adatai</w:t>
      </w:r>
      <w:r w:rsidR="00FD1399" w:rsidRPr="002D20D3">
        <w:rPr>
          <w:rFonts w:ascii="Arial" w:hAnsi="Arial" w:cs="Arial"/>
          <w:iCs/>
        </w:rPr>
        <w:t xml:space="preserve"> és a Zala Megyei Kormányhivatal </w:t>
      </w:r>
      <w:r w:rsidR="00673BA4" w:rsidRPr="002D20D3">
        <w:rPr>
          <w:rFonts w:ascii="Arial" w:hAnsi="Arial" w:cs="Arial"/>
          <w:iCs/>
        </w:rPr>
        <w:t xml:space="preserve">2020. évi </w:t>
      </w:r>
      <w:r w:rsidR="00C8011B">
        <w:rPr>
          <w:rFonts w:ascii="Arial" w:hAnsi="Arial" w:cs="Arial"/>
          <w:iCs/>
        </w:rPr>
        <w:t xml:space="preserve">komplex </w:t>
      </w:r>
      <w:r w:rsidR="00673BA4" w:rsidRPr="002D20D3">
        <w:rPr>
          <w:rFonts w:ascii="Arial" w:hAnsi="Arial" w:cs="Arial"/>
          <w:iCs/>
        </w:rPr>
        <w:t xml:space="preserve">ellenőrzésének jelentése is </w:t>
      </w:r>
      <w:r w:rsidR="00985BE5" w:rsidRPr="002D20D3">
        <w:rPr>
          <w:rFonts w:ascii="Arial" w:hAnsi="Arial" w:cs="Arial"/>
          <w:iCs/>
        </w:rPr>
        <w:t xml:space="preserve">azt </w:t>
      </w:r>
      <w:r w:rsidRPr="002D20D3">
        <w:rPr>
          <w:rFonts w:ascii="Arial" w:hAnsi="Arial" w:cs="Arial"/>
          <w:iCs/>
        </w:rPr>
        <w:t>mutatják, hogy hatékony és törvényes az adóigazgatási munka</w:t>
      </w:r>
      <w:r w:rsidR="00985BE5" w:rsidRPr="002D20D3">
        <w:rPr>
          <w:rFonts w:ascii="Arial" w:hAnsi="Arial" w:cs="Arial"/>
          <w:iCs/>
        </w:rPr>
        <w:t>, amelyet ez évben is – különös tekintettel a bekövetkezett változásokra – fenn kívánunk tartani.</w:t>
      </w:r>
    </w:p>
    <w:p w:rsidR="00EA475A" w:rsidRDefault="00EA475A" w:rsidP="00F921C6">
      <w:pPr>
        <w:tabs>
          <w:tab w:val="center" w:pos="7088"/>
          <w:tab w:val="left" w:pos="7788"/>
          <w:tab w:val="left" w:pos="8496"/>
        </w:tabs>
        <w:suppressAutoHyphens/>
        <w:spacing w:after="0"/>
        <w:jc w:val="both"/>
        <w:rPr>
          <w:rFonts w:ascii="Arial" w:hAnsi="Arial" w:cs="Arial"/>
          <w:b/>
          <w:iCs/>
        </w:rPr>
      </w:pPr>
    </w:p>
    <w:p w:rsidR="00EA475A" w:rsidRPr="0042251B" w:rsidRDefault="00EA475A" w:rsidP="00F921C6">
      <w:pPr>
        <w:tabs>
          <w:tab w:val="center" w:pos="7088"/>
          <w:tab w:val="left" w:pos="7788"/>
          <w:tab w:val="left" w:pos="8496"/>
        </w:tabs>
        <w:suppressAutoHyphens/>
        <w:spacing w:after="0"/>
        <w:jc w:val="both"/>
        <w:rPr>
          <w:rFonts w:ascii="Arial" w:hAnsi="Arial" w:cs="Arial"/>
          <w:b/>
          <w:iCs/>
        </w:rPr>
      </w:pPr>
      <w:r w:rsidRPr="0042251B">
        <w:rPr>
          <w:rFonts w:ascii="Arial" w:hAnsi="Arial" w:cs="Arial"/>
          <w:b/>
          <w:iCs/>
        </w:rPr>
        <w:t>2022. évben az önkormányzati adóhatóság részéről célvizsgálatot kezdünk az építményadó bevallási kötelezettség ellenőrzésére, így a bevallások és különösen az 100 %-os adókedvezmény érvényesítésének vizsgálatára.</w:t>
      </w:r>
    </w:p>
    <w:p w:rsidR="00D21799" w:rsidRPr="002D20D3" w:rsidRDefault="00D21799" w:rsidP="00F921C6">
      <w:pPr>
        <w:tabs>
          <w:tab w:val="center" w:pos="7088"/>
          <w:tab w:val="left" w:pos="7788"/>
          <w:tab w:val="left" w:pos="8496"/>
        </w:tabs>
        <w:suppressAutoHyphens/>
        <w:spacing w:after="0"/>
        <w:jc w:val="both"/>
        <w:rPr>
          <w:rFonts w:ascii="Arial" w:hAnsi="Arial" w:cs="Arial"/>
          <w:iCs/>
        </w:rPr>
      </w:pPr>
    </w:p>
    <w:p w:rsidR="001101F2" w:rsidRPr="002D20D3" w:rsidRDefault="001101F2" w:rsidP="00F921C6">
      <w:pPr>
        <w:tabs>
          <w:tab w:val="center" w:pos="7088"/>
          <w:tab w:val="left" w:pos="7788"/>
          <w:tab w:val="left" w:pos="8496"/>
        </w:tabs>
        <w:suppressAutoHyphens/>
        <w:spacing w:after="0"/>
        <w:jc w:val="both"/>
        <w:rPr>
          <w:rFonts w:ascii="Arial" w:hAnsi="Arial" w:cs="Arial"/>
          <w:b/>
          <w:iCs/>
        </w:rPr>
      </w:pPr>
      <w:r w:rsidRPr="002D20D3">
        <w:rPr>
          <w:rFonts w:ascii="Arial" w:hAnsi="Arial" w:cs="Arial"/>
          <w:b/>
          <w:iCs/>
        </w:rPr>
        <w:t>Tisztelt Képviselő-testületet!</w:t>
      </w:r>
    </w:p>
    <w:p w:rsidR="00F2142D" w:rsidRPr="002D20D3" w:rsidRDefault="00F2142D" w:rsidP="00F921C6">
      <w:pPr>
        <w:tabs>
          <w:tab w:val="center" w:pos="7088"/>
          <w:tab w:val="left" w:pos="7788"/>
          <w:tab w:val="left" w:pos="8496"/>
        </w:tabs>
        <w:suppressAutoHyphens/>
        <w:spacing w:after="0"/>
        <w:jc w:val="both"/>
        <w:rPr>
          <w:rFonts w:ascii="Arial" w:hAnsi="Arial" w:cs="Arial"/>
          <w:b/>
          <w:iCs/>
        </w:rPr>
      </w:pPr>
    </w:p>
    <w:p w:rsidR="00AC0513" w:rsidRDefault="001274F8" w:rsidP="00F921C6">
      <w:pPr>
        <w:spacing w:after="0"/>
        <w:jc w:val="both"/>
        <w:rPr>
          <w:rFonts w:ascii="Arial" w:hAnsi="Arial" w:cs="Arial"/>
          <w:iCs/>
        </w:rPr>
      </w:pPr>
      <w:r w:rsidRPr="002D20D3">
        <w:rPr>
          <w:rFonts w:ascii="Arial" w:hAnsi="Arial" w:cs="Arial"/>
          <w:iCs/>
        </w:rPr>
        <w:t>Kérem az előterjesztés</w:t>
      </w:r>
      <w:r w:rsidR="004538E0" w:rsidRPr="002D20D3">
        <w:rPr>
          <w:rFonts w:ascii="Arial" w:hAnsi="Arial" w:cs="Arial"/>
          <w:iCs/>
        </w:rPr>
        <w:t xml:space="preserve"> megvitatását.</w:t>
      </w:r>
      <w:r w:rsidR="00735D46" w:rsidRPr="002D20D3">
        <w:rPr>
          <w:rFonts w:ascii="Arial" w:hAnsi="Arial" w:cs="Arial"/>
          <w:iCs/>
        </w:rPr>
        <w:t xml:space="preserve"> </w:t>
      </w:r>
      <w:r w:rsidR="004538E0" w:rsidRPr="002D20D3">
        <w:rPr>
          <w:rFonts w:ascii="Arial" w:hAnsi="Arial" w:cs="Arial"/>
          <w:iCs/>
        </w:rPr>
        <w:t>A dönté</w:t>
      </w:r>
      <w:r w:rsidR="00AC0513" w:rsidRPr="002D20D3">
        <w:rPr>
          <w:rFonts w:ascii="Arial" w:hAnsi="Arial" w:cs="Arial"/>
          <w:iCs/>
        </w:rPr>
        <w:t>s egyszerű szótöbbséget igényel.</w:t>
      </w:r>
    </w:p>
    <w:p w:rsidR="00AC0513" w:rsidRDefault="00AC0513" w:rsidP="00BB6EE0">
      <w:pPr>
        <w:spacing w:after="0"/>
        <w:jc w:val="both"/>
        <w:rPr>
          <w:rFonts w:ascii="Arial" w:hAnsi="Arial" w:cs="Arial"/>
          <w:iCs/>
        </w:rPr>
      </w:pPr>
    </w:p>
    <w:p w:rsidR="00AC0513" w:rsidRDefault="00AC0513" w:rsidP="00BB6EE0">
      <w:pPr>
        <w:spacing w:after="0"/>
        <w:jc w:val="both"/>
        <w:rPr>
          <w:rFonts w:ascii="Arial" w:hAnsi="Arial" w:cs="Arial"/>
          <w:iCs/>
        </w:rPr>
      </w:pPr>
    </w:p>
    <w:p w:rsidR="00694DB0" w:rsidRDefault="00694DB0">
      <w:pPr>
        <w:spacing w:after="0" w:line="240" w:lineRule="auto"/>
        <w:rPr>
          <w:rFonts w:ascii="Arial" w:hAnsi="Arial" w:cs="Arial"/>
          <w:iCs/>
        </w:rPr>
      </w:pPr>
      <w:r>
        <w:rPr>
          <w:rFonts w:ascii="Arial" w:hAnsi="Arial" w:cs="Arial"/>
          <w:iCs/>
        </w:rPr>
        <w:br w:type="page"/>
      </w:r>
    </w:p>
    <w:p w:rsidR="00AC0513" w:rsidRDefault="00AC0513" w:rsidP="00BB6EE0">
      <w:pPr>
        <w:spacing w:after="0"/>
        <w:jc w:val="both"/>
        <w:rPr>
          <w:rFonts w:ascii="Arial" w:hAnsi="Arial" w:cs="Arial"/>
          <w:iCs/>
        </w:rPr>
      </w:pPr>
    </w:p>
    <w:p w:rsidR="002830E0" w:rsidRPr="00AC0513" w:rsidRDefault="002830E0" w:rsidP="00BB6EE0">
      <w:pPr>
        <w:spacing w:after="0"/>
        <w:jc w:val="center"/>
        <w:rPr>
          <w:rFonts w:ascii="Arial" w:hAnsi="Arial" w:cs="Arial"/>
          <w:iCs/>
        </w:rPr>
      </w:pPr>
      <w:r w:rsidRPr="004C21F4">
        <w:rPr>
          <w:rFonts w:ascii="Arial" w:hAnsi="Arial" w:cs="Arial"/>
          <w:b/>
          <w:sz w:val="24"/>
          <w:szCs w:val="24"/>
        </w:rPr>
        <w:t>2.</w:t>
      </w:r>
    </w:p>
    <w:p w:rsidR="00735D46" w:rsidRPr="007874CC" w:rsidRDefault="00735D46" w:rsidP="00BB6EE0">
      <w:pPr>
        <w:spacing w:after="0"/>
        <w:jc w:val="center"/>
        <w:rPr>
          <w:rFonts w:ascii="Arial" w:hAnsi="Arial" w:cs="Arial"/>
          <w:b/>
          <w:color w:val="7030A0"/>
          <w:sz w:val="24"/>
          <w:szCs w:val="24"/>
        </w:rPr>
      </w:pPr>
    </w:p>
    <w:p w:rsidR="00735D46" w:rsidRPr="00867E47" w:rsidRDefault="00735D46" w:rsidP="00BB6EE0">
      <w:pPr>
        <w:spacing w:after="0"/>
        <w:jc w:val="center"/>
        <w:rPr>
          <w:rFonts w:ascii="Arial" w:hAnsi="Arial" w:cs="Arial"/>
          <w:b/>
          <w:sz w:val="24"/>
          <w:szCs w:val="24"/>
        </w:rPr>
      </w:pPr>
      <w:r w:rsidRPr="00867E47">
        <w:rPr>
          <w:rFonts w:ascii="Arial" w:hAnsi="Arial" w:cs="Arial"/>
          <w:b/>
          <w:sz w:val="24"/>
          <w:szCs w:val="24"/>
        </w:rPr>
        <w:t>Határozati javaslat</w:t>
      </w:r>
    </w:p>
    <w:p w:rsidR="002830E0" w:rsidRPr="00867E47" w:rsidRDefault="002830E0" w:rsidP="00BB6EE0">
      <w:pPr>
        <w:spacing w:after="0"/>
        <w:jc w:val="center"/>
        <w:rPr>
          <w:rFonts w:ascii="Arial" w:hAnsi="Arial" w:cs="Arial"/>
          <w:sz w:val="24"/>
          <w:szCs w:val="24"/>
        </w:rPr>
      </w:pPr>
    </w:p>
    <w:p w:rsidR="002830E0" w:rsidRDefault="002830E0" w:rsidP="00BB6EE0">
      <w:pPr>
        <w:spacing w:after="0"/>
        <w:jc w:val="both"/>
        <w:rPr>
          <w:rFonts w:ascii="Arial" w:hAnsi="Arial" w:cs="Arial"/>
        </w:rPr>
      </w:pPr>
      <w:r w:rsidRPr="00867E47">
        <w:rPr>
          <w:rFonts w:ascii="Arial" w:hAnsi="Arial" w:cs="Arial"/>
        </w:rPr>
        <w:t>Hévíz Város Önkormá</w:t>
      </w:r>
      <w:r w:rsidR="00B32CE8" w:rsidRPr="00867E47">
        <w:rPr>
          <w:rFonts w:ascii="Arial" w:hAnsi="Arial" w:cs="Arial"/>
        </w:rPr>
        <w:t xml:space="preserve">nyzat Képviselő-testülete </w:t>
      </w:r>
      <w:r w:rsidR="00B32CE8" w:rsidRPr="000930E7">
        <w:rPr>
          <w:rFonts w:ascii="Arial" w:hAnsi="Arial" w:cs="Arial"/>
        </w:rPr>
        <w:t>a</w:t>
      </w:r>
      <w:r w:rsidR="00EA475A" w:rsidRPr="000930E7">
        <w:rPr>
          <w:rFonts w:ascii="Arial" w:hAnsi="Arial" w:cs="Arial"/>
        </w:rPr>
        <w:t xml:space="preserve"> jegyző, mint önkormányzati adóhatóság</w:t>
      </w:r>
      <w:r w:rsidR="00B32CE8" w:rsidRPr="000930E7">
        <w:rPr>
          <w:rFonts w:ascii="Arial" w:hAnsi="Arial" w:cs="Arial"/>
        </w:rPr>
        <w:t xml:space="preserve"> 20</w:t>
      </w:r>
      <w:r w:rsidR="00E40359" w:rsidRPr="000930E7">
        <w:rPr>
          <w:rFonts w:ascii="Arial" w:hAnsi="Arial" w:cs="Arial"/>
        </w:rPr>
        <w:t>2</w:t>
      </w:r>
      <w:r w:rsidR="003A1834" w:rsidRPr="000930E7">
        <w:rPr>
          <w:rFonts w:ascii="Arial" w:hAnsi="Arial" w:cs="Arial"/>
        </w:rPr>
        <w:t>1</w:t>
      </w:r>
      <w:r w:rsidRPr="000930E7">
        <w:rPr>
          <w:rFonts w:ascii="Arial" w:hAnsi="Arial" w:cs="Arial"/>
        </w:rPr>
        <w:t>. évi adó</w:t>
      </w:r>
      <w:r w:rsidR="003501E1" w:rsidRPr="000930E7">
        <w:rPr>
          <w:rFonts w:ascii="Arial" w:hAnsi="Arial" w:cs="Arial"/>
        </w:rPr>
        <w:t xml:space="preserve">igazgatási tevékenységről szóló </w:t>
      </w:r>
      <w:r w:rsidRPr="000930E7">
        <w:rPr>
          <w:rFonts w:ascii="Arial" w:hAnsi="Arial" w:cs="Arial"/>
        </w:rPr>
        <w:t>beszámoló</w:t>
      </w:r>
      <w:r w:rsidR="00EA475A" w:rsidRPr="000930E7">
        <w:rPr>
          <w:rFonts w:ascii="Arial" w:hAnsi="Arial" w:cs="Arial"/>
        </w:rPr>
        <w:t>ját</w:t>
      </w:r>
      <w:r w:rsidRPr="000930E7">
        <w:rPr>
          <w:rFonts w:ascii="Arial" w:hAnsi="Arial" w:cs="Arial"/>
        </w:rPr>
        <w:t xml:space="preserve"> </w:t>
      </w:r>
      <w:r w:rsidR="00EA475A" w:rsidRPr="000930E7">
        <w:rPr>
          <w:rFonts w:ascii="Arial" w:hAnsi="Arial" w:cs="Arial"/>
        </w:rPr>
        <w:t xml:space="preserve">megtárgyalta és </w:t>
      </w:r>
      <w:r w:rsidRPr="000930E7">
        <w:rPr>
          <w:rFonts w:ascii="Arial" w:hAnsi="Arial" w:cs="Arial"/>
        </w:rPr>
        <w:t>elfogadja</w:t>
      </w:r>
      <w:r w:rsidRPr="00867E47">
        <w:rPr>
          <w:rFonts w:ascii="Arial" w:hAnsi="Arial" w:cs="Arial"/>
        </w:rPr>
        <w:t>.</w:t>
      </w:r>
    </w:p>
    <w:p w:rsidR="00694DB0" w:rsidRDefault="00694DB0" w:rsidP="00BB6EE0">
      <w:pPr>
        <w:spacing w:after="0"/>
        <w:jc w:val="both"/>
        <w:rPr>
          <w:rFonts w:ascii="Arial" w:hAnsi="Arial" w:cs="Arial"/>
        </w:rPr>
      </w:pPr>
    </w:p>
    <w:p w:rsidR="00694DB0" w:rsidRPr="00867E47" w:rsidRDefault="00694DB0" w:rsidP="00BB6EE0">
      <w:pPr>
        <w:spacing w:after="0"/>
        <w:jc w:val="both"/>
        <w:rPr>
          <w:rFonts w:ascii="Arial" w:hAnsi="Arial" w:cs="Arial"/>
        </w:rPr>
      </w:pPr>
    </w:p>
    <w:p w:rsidR="003A06EF" w:rsidRPr="00867E47" w:rsidRDefault="003A06EF" w:rsidP="00BB6EE0">
      <w:pPr>
        <w:spacing w:after="0"/>
        <w:jc w:val="both"/>
        <w:rPr>
          <w:rFonts w:ascii="Arial" w:hAnsi="Arial" w:cs="Arial"/>
        </w:rPr>
      </w:pPr>
    </w:p>
    <w:p w:rsidR="00AC0513" w:rsidRDefault="00AC0513" w:rsidP="00BB6EE0">
      <w:pPr>
        <w:spacing w:after="0"/>
        <w:rPr>
          <w:rFonts w:ascii="Arial" w:hAnsi="Arial" w:cs="Arial"/>
          <w:b/>
          <w:color w:val="7030A0"/>
          <w:sz w:val="24"/>
          <w:szCs w:val="24"/>
        </w:rPr>
      </w:pPr>
      <w:r>
        <w:rPr>
          <w:rFonts w:ascii="Arial" w:hAnsi="Arial" w:cs="Arial"/>
          <w:b/>
          <w:color w:val="7030A0"/>
          <w:sz w:val="24"/>
          <w:szCs w:val="24"/>
        </w:rPr>
        <w:br w:type="page"/>
      </w:r>
    </w:p>
    <w:p w:rsidR="00157B65" w:rsidRPr="007874CC" w:rsidRDefault="00157B65" w:rsidP="00157B65">
      <w:pPr>
        <w:spacing w:after="0" w:line="240" w:lineRule="auto"/>
        <w:jc w:val="center"/>
        <w:rPr>
          <w:rFonts w:ascii="Arial" w:hAnsi="Arial" w:cs="Arial"/>
          <w:b/>
          <w:color w:val="7030A0"/>
          <w:sz w:val="24"/>
          <w:szCs w:val="24"/>
        </w:rPr>
      </w:pPr>
    </w:p>
    <w:p w:rsidR="00E03983" w:rsidRPr="00867E47" w:rsidRDefault="00157B65" w:rsidP="00F7042A">
      <w:pPr>
        <w:spacing w:after="0" w:line="240" w:lineRule="auto"/>
        <w:jc w:val="center"/>
        <w:rPr>
          <w:rFonts w:ascii="Arial" w:hAnsi="Arial" w:cs="Arial"/>
          <w:b/>
          <w:sz w:val="24"/>
          <w:szCs w:val="24"/>
        </w:rPr>
      </w:pPr>
      <w:r w:rsidRPr="00867E47">
        <w:rPr>
          <w:rFonts w:ascii="Arial" w:hAnsi="Arial" w:cs="Arial"/>
          <w:b/>
          <w:sz w:val="24"/>
          <w:szCs w:val="24"/>
        </w:rPr>
        <w:t>5</w:t>
      </w:r>
      <w:r w:rsidR="00F7042A" w:rsidRPr="00867E47">
        <w:rPr>
          <w:rFonts w:ascii="Arial" w:hAnsi="Arial" w:cs="Arial"/>
          <w:b/>
          <w:sz w:val="24"/>
          <w:szCs w:val="24"/>
        </w:rPr>
        <w:t>.</w:t>
      </w:r>
    </w:p>
    <w:p w:rsidR="00F7042A" w:rsidRPr="00867E47" w:rsidRDefault="00F7042A" w:rsidP="00F7042A">
      <w:pPr>
        <w:spacing w:after="0" w:line="240" w:lineRule="auto"/>
        <w:jc w:val="center"/>
        <w:rPr>
          <w:rFonts w:ascii="Arial" w:hAnsi="Arial" w:cs="Arial"/>
          <w:b/>
          <w:sz w:val="24"/>
          <w:szCs w:val="24"/>
        </w:rPr>
      </w:pPr>
    </w:p>
    <w:p w:rsidR="006D22ED" w:rsidRPr="00867E47" w:rsidRDefault="006D22ED" w:rsidP="00F7042A">
      <w:pPr>
        <w:spacing w:after="0" w:line="240" w:lineRule="auto"/>
        <w:jc w:val="center"/>
        <w:rPr>
          <w:rFonts w:ascii="Arial" w:hAnsi="Arial" w:cs="Arial"/>
          <w:b/>
          <w:sz w:val="24"/>
          <w:szCs w:val="24"/>
        </w:rPr>
      </w:pPr>
      <w:r w:rsidRPr="00867E47">
        <w:rPr>
          <w:rFonts w:ascii="Arial" w:hAnsi="Arial" w:cs="Arial"/>
          <w:b/>
          <w:sz w:val="24"/>
          <w:szCs w:val="24"/>
        </w:rPr>
        <w:t>Felülvizsgálatok - egyeztetések</w:t>
      </w:r>
    </w:p>
    <w:p w:rsidR="00E03983" w:rsidRPr="00867E47"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67E47" w:rsidRPr="00867E47">
        <w:tc>
          <w:tcPr>
            <w:tcW w:w="9959" w:type="dxa"/>
            <w:gridSpan w:val="4"/>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Polgármesteri Hivatal </w:t>
            </w:r>
          </w:p>
        </w:tc>
      </w:tr>
      <w:tr w:rsidR="00867E47" w:rsidRPr="00867E47">
        <w:trPr>
          <w:trHeight w:val="422"/>
        </w:trPr>
        <w:tc>
          <w:tcPr>
            <w:tcW w:w="230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név </w:t>
            </w:r>
          </w:p>
        </w:tc>
        <w:tc>
          <w:tcPr>
            <w:tcW w:w="248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beosztás/feladat</w:t>
            </w:r>
          </w:p>
        </w:tc>
        <w:tc>
          <w:tcPr>
            <w:tcW w:w="1843"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aláírás </w:t>
            </w:r>
          </w:p>
        </w:tc>
        <w:tc>
          <w:tcPr>
            <w:tcW w:w="333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megjegyzés </w:t>
            </w:r>
          </w:p>
        </w:tc>
      </w:tr>
      <w:tr w:rsidR="00867E47" w:rsidRPr="00AC0513">
        <w:trPr>
          <w:trHeight w:val="697"/>
        </w:trPr>
        <w:tc>
          <w:tcPr>
            <w:tcW w:w="2303" w:type="dxa"/>
          </w:tcPr>
          <w:p w:rsidR="000812FC" w:rsidRPr="00AC0513" w:rsidRDefault="00310FAB" w:rsidP="00233937">
            <w:pPr>
              <w:spacing w:after="0" w:line="240" w:lineRule="auto"/>
              <w:rPr>
                <w:rFonts w:ascii="Arial" w:hAnsi="Arial" w:cs="Arial"/>
              </w:rPr>
            </w:pPr>
            <w:r w:rsidRPr="00AC0513">
              <w:rPr>
                <w:rFonts w:ascii="Arial" w:hAnsi="Arial" w:cs="Arial"/>
              </w:rPr>
              <w:t>Fábiánné Hoffman Márta</w:t>
            </w:r>
          </w:p>
        </w:tc>
        <w:tc>
          <w:tcPr>
            <w:tcW w:w="2483" w:type="dxa"/>
          </w:tcPr>
          <w:p w:rsidR="000812FC" w:rsidRPr="00AC0513" w:rsidRDefault="000812FC" w:rsidP="00C91785">
            <w:pPr>
              <w:spacing w:after="0" w:line="240" w:lineRule="auto"/>
              <w:rPr>
                <w:rFonts w:ascii="Arial" w:hAnsi="Arial" w:cs="Arial"/>
              </w:rPr>
            </w:pPr>
            <w:r w:rsidRPr="00AC0513">
              <w:rPr>
                <w:rFonts w:ascii="Arial" w:hAnsi="Arial" w:cs="Arial"/>
              </w:rPr>
              <w:t>hatósági osztályvezető</w:t>
            </w:r>
          </w:p>
        </w:tc>
        <w:tc>
          <w:tcPr>
            <w:tcW w:w="1843" w:type="dxa"/>
          </w:tcPr>
          <w:p w:rsidR="000812FC" w:rsidRPr="00AC0513" w:rsidRDefault="000812FC" w:rsidP="00233937">
            <w:pPr>
              <w:spacing w:after="0" w:line="240" w:lineRule="auto"/>
              <w:rPr>
                <w:rFonts w:ascii="Arial" w:hAnsi="Arial" w:cs="Arial"/>
              </w:rPr>
            </w:pPr>
          </w:p>
        </w:tc>
        <w:tc>
          <w:tcPr>
            <w:tcW w:w="3330" w:type="dxa"/>
          </w:tcPr>
          <w:p w:rsidR="000812FC" w:rsidRPr="00AC0513" w:rsidRDefault="000812FC"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Pángerné Toplak Éva</w:t>
            </w:r>
          </w:p>
        </w:tc>
        <w:tc>
          <w:tcPr>
            <w:tcW w:w="2483" w:type="dxa"/>
          </w:tcPr>
          <w:p w:rsidR="00363CAA" w:rsidRPr="00AC0513" w:rsidRDefault="00A25494" w:rsidP="00233937">
            <w:pPr>
              <w:spacing w:after="0" w:line="240" w:lineRule="auto"/>
              <w:rPr>
                <w:rFonts w:ascii="Arial" w:hAnsi="Arial" w:cs="Arial"/>
              </w:rPr>
            </w:pPr>
            <w:r w:rsidRPr="00AC0513">
              <w:rPr>
                <w:rFonts w:ascii="Arial" w:hAnsi="Arial" w:cs="Arial"/>
              </w:rPr>
              <w:t>idegenforgalmi adóügyintéző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AB58AC" w:rsidRPr="00AC0513">
        <w:trPr>
          <w:trHeight w:val="697"/>
        </w:trPr>
        <w:tc>
          <w:tcPr>
            <w:tcW w:w="2303" w:type="dxa"/>
          </w:tcPr>
          <w:p w:rsidR="00AB58AC" w:rsidRPr="00AC0513" w:rsidRDefault="00AB58AC" w:rsidP="00233937">
            <w:pPr>
              <w:spacing w:after="0" w:line="240" w:lineRule="auto"/>
              <w:rPr>
                <w:rFonts w:ascii="Arial" w:hAnsi="Arial" w:cs="Arial"/>
              </w:rPr>
            </w:pPr>
            <w:r>
              <w:rPr>
                <w:rFonts w:ascii="Arial" w:hAnsi="Arial" w:cs="Arial"/>
              </w:rPr>
              <w:t>Panka-Kovács Melinda</w:t>
            </w:r>
          </w:p>
        </w:tc>
        <w:tc>
          <w:tcPr>
            <w:tcW w:w="2483" w:type="dxa"/>
          </w:tcPr>
          <w:p w:rsidR="00AB58AC" w:rsidRPr="00AC0513" w:rsidRDefault="00AB58AC" w:rsidP="00233937">
            <w:pPr>
              <w:spacing w:after="0" w:line="240" w:lineRule="auto"/>
              <w:rPr>
                <w:rFonts w:ascii="Arial" w:hAnsi="Arial" w:cs="Arial"/>
              </w:rPr>
            </w:pPr>
            <w:r>
              <w:rPr>
                <w:rFonts w:ascii="Arial" w:hAnsi="Arial" w:cs="Arial"/>
              </w:rPr>
              <w:t>igazgatási ügyintéző</w:t>
            </w:r>
          </w:p>
        </w:tc>
        <w:tc>
          <w:tcPr>
            <w:tcW w:w="1843" w:type="dxa"/>
          </w:tcPr>
          <w:p w:rsidR="00AB58AC" w:rsidRPr="00AC0513" w:rsidRDefault="00AB58AC" w:rsidP="00233937">
            <w:pPr>
              <w:spacing w:after="0" w:line="240" w:lineRule="auto"/>
              <w:rPr>
                <w:rFonts w:ascii="Arial" w:hAnsi="Arial" w:cs="Arial"/>
              </w:rPr>
            </w:pPr>
          </w:p>
        </w:tc>
        <w:tc>
          <w:tcPr>
            <w:tcW w:w="3330" w:type="dxa"/>
          </w:tcPr>
          <w:p w:rsidR="00AB58AC" w:rsidRPr="00AC0513" w:rsidRDefault="00AB58AC"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Szörényi László</w:t>
            </w:r>
          </w:p>
        </w:tc>
        <w:tc>
          <w:tcPr>
            <w:tcW w:w="2483" w:type="dxa"/>
          </w:tcPr>
          <w:p w:rsidR="00363CAA" w:rsidRPr="00AC0513" w:rsidRDefault="00A25494" w:rsidP="00233937">
            <w:pPr>
              <w:spacing w:after="0" w:line="240" w:lineRule="auto"/>
              <w:rPr>
                <w:rFonts w:ascii="Arial" w:hAnsi="Arial" w:cs="Arial"/>
              </w:rPr>
            </w:pPr>
            <w:r w:rsidRPr="00AC0513">
              <w:rPr>
                <w:rFonts w:ascii="Arial" w:hAnsi="Arial" w:cs="Arial"/>
              </w:rPr>
              <w:t>adóügyi és építményadó 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233937">
            <w:pPr>
              <w:spacing w:after="0" w:line="240" w:lineRule="auto"/>
              <w:rPr>
                <w:rFonts w:ascii="Arial" w:hAnsi="Arial" w:cs="Arial"/>
              </w:rPr>
            </w:pPr>
            <w:r w:rsidRPr="00AC0513">
              <w:rPr>
                <w:rFonts w:ascii="Arial" w:hAnsi="Arial" w:cs="Arial"/>
              </w:rPr>
              <w:t>Szűrösné Németh Hajnalka</w:t>
            </w:r>
          </w:p>
        </w:tc>
        <w:tc>
          <w:tcPr>
            <w:tcW w:w="2483" w:type="dxa"/>
          </w:tcPr>
          <w:p w:rsidR="00363CAA" w:rsidRPr="00AC0513" w:rsidRDefault="004C21F4" w:rsidP="00233937">
            <w:pPr>
              <w:spacing w:after="0" w:line="240" w:lineRule="auto"/>
              <w:rPr>
                <w:rFonts w:ascii="Arial" w:hAnsi="Arial" w:cs="Arial"/>
              </w:rPr>
            </w:pPr>
            <w:r w:rsidRPr="00AC0513">
              <w:rPr>
                <w:rFonts w:ascii="Arial" w:hAnsi="Arial" w:cs="Arial"/>
              </w:rPr>
              <w:t>iparűzési adó ügyintéző</w:t>
            </w:r>
          </w:p>
        </w:tc>
        <w:tc>
          <w:tcPr>
            <w:tcW w:w="1843" w:type="dxa"/>
          </w:tcPr>
          <w:p w:rsidR="00363CAA" w:rsidRPr="00AC0513" w:rsidRDefault="00363CAA" w:rsidP="00233937">
            <w:pPr>
              <w:spacing w:after="0" w:line="240" w:lineRule="auto"/>
              <w:rPr>
                <w:rFonts w:ascii="Arial" w:hAnsi="Arial" w:cs="Arial"/>
              </w:rPr>
            </w:pPr>
          </w:p>
        </w:tc>
        <w:tc>
          <w:tcPr>
            <w:tcW w:w="3330" w:type="dxa"/>
          </w:tcPr>
          <w:p w:rsidR="00363CAA" w:rsidRPr="00AC0513" w:rsidRDefault="00363CAA" w:rsidP="00233937">
            <w:pPr>
              <w:spacing w:after="0" w:line="240" w:lineRule="auto"/>
              <w:rPr>
                <w:rFonts w:ascii="Arial" w:hAnsi="Arial" w:cs="Arial"/>
              </w:rPr>
            </w:pPr>
          </w:p>
        </w:tc>
      </w:tr>
      <w:tr w:rsidR="00002207" w:rsidRPr="00AC0513">
        <w:trPr>
          <w:trHeight w:val="697"/>
        </w:trPr>
        <w:tc>
          <w:tcPr>
            <w:tcW w:w="2303" w:type="dxa"/>
          </w:tcPr>
          <w:p w:rsidR="00002207" w:rsidRPr="00002207" w:rsidRDefault="00002207" w:rsidP="00233937">
            <w:pPr>
              <w:spacing w:after="0" w:line="240" w:lineRule="auto"/>
              <w:rPr>
                <w:rFonts w:ascii="Arial" w:hAnsi="Arial" w:cs="Arial"/>
              </w:rPr>
            </w:pPr>
            <w:r w:rsidRPr="00002207">
              <w:rPr>
                <w:rFonts w:ascii="Arial" w:hAnsi="Arial" w:cs="Arial"/>
              </w:rPr>
              <w:t>Strausz Nikolett</w:t>
            </w:r>
          </w:p>
        </w:tc>
        <w:tc>
          <w:tcPr>
            <w:tcW w:w="2483" w:type="dxa"/>
          </w:tcPr>
          <w:p w:rsidR="00002207" w:rsidRPr="00AC0513" w:rsidRDefault="00B0576B" w:rsidP="00233937">
            <w:pPr>
              <w:spacing w:after="0" w:line="240" w:lineRule="auto"/>
              <w:rPr>
                <w:rFonts w:ascii="Arial" w:hAnsi="Arial" w:cs="Arial"/>
              </w:rPr>
            </w:pPr>
            <w:r>
              <w:rPr>
                <w:rFonts w:ascii="Arial" w:hAnsi="Arial" w:cs="Arial"/>
              </w:rPr>
              <w:t>behajtási ügyintéző</w:t>
            </w:r>
          </w:p>
        </w:tc>
        <w:tc>
          <w:tcPr>
            <w:tcW w:w="1843" w:type="dxa"/>
          </w:tcPr>
          <w:p w:rsidR="00002207" w:rsidRPr="00AC0513" w:rsidRDefault="00002207" w:rsidP="00233937">
            <w:pPr>
              <w:spacing w:after="0" w:line="240" w:lineRule="auto"/>
              <w:rPr>
                <w:rFonts w:ascii="Arial" w:hAnsi="Arial" w:cs="Arial"/>
              </w:rPr>
            </w:pPr>
          </w:p>
        </w:tc>
        <w:tc>
          <w:tcPr>
            <w:tcW w:w="3330" w:type="dxa"/>
          </w:tcPr>
          <w:p w:rsidR="00002207" w:rsidRPr="00AC0513" w:rsidRDefault="00002207" w:rsidP="00233937">
            <w:pPr>
              <w:spacing w:after="0" w:line="240" w:lineRule="auto"/>
              <w:rPr>
                <w:rFonts w:ascii="Arial" w:hAnsi="Arial" w:cs="Arial"/>
              </w:rPr>
            </w:pPr>
          </w:p>
        </w:tc>
      </w:tr>
      <w:tr w:rsidR="00867E47" w:rsidRPr="00AC0513">
        <w:trPr>
          <w:trHeight w:val="573"/>
        </w:trPr>
        <w:tc>
          <w:tcPr>
            <w:tcW w:w="2303" w:type="dxa"/>
          </w:tcPr>
          <w:p w:rsidR="007A5695" w:rsidRPr="00AC0513" w:rsidRDefault="005F5EBB" w:rsidP="00267CD8">
            <w:pPr>
              <w:spacing w:after="0" w:line="240" w:lineRule="auto"/>
              <w:rPr>
                <w:rFonts w:ascii="Arial" w:hAnsi="Arial" w:cs="Arial"/>
              </w:rPr>
            </w:pPr>
            <w:r w:rsidRPr="00AC0513">
              <w:rPr>
                <w:rFonts w:ascii="Arial" w:hAnsi="Arial" w:cs="Arial"/>
              </w:rPr>
              <w:t>Szintén László</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pénzügyi ellenőrzés </w:t>
            </w: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tr>
      <w:tr w:rsidR="007A5695" w:rsidRPr="00AC0513">
        <w:tc>
          <w:tcPr>
            <w:tcW w:w="2303" w:type="dxa"/>
          </w:tcPr>
          <w:p w:rsidR="007A5695" w:rsidRPr="00AC0513" w:rsidRDefault="007A5695" w:rsidP="00476DD3">
            <w:pPr>
              <w:spacing w:after="0" w:line="240" w:lineRule="auto"/>
              <w:rPr>
                <w:rFonts w:ascii="Arial" w:hAnsi="Arial" w:cs="Arial"/>
              </w:rPr>
            </w:pPr>
            <w:r w:rsidRPr="00AC0513">
              <w:rPr>
                <w:rFonts w:ascii="Arial" w:hAnsi="Arial" w:cs="Arial"/>
              </w:rPr>
              <w:t>dr. Tüske Róbert</w:t>
            </w:r>
          </w:p>
        </w:tc>
        <w:tc>
          <w:tcPr>
            <w:tcW w:w="2483" w:type="dxa"/>
            <w:vAlign w:val="center"/>
          </w:tcPr>
          <w:p w:rsidR="007A5695" w:rsidRPr="00AC0513" w:rsidRDefault="007A5695" w:rsidP="00476DD3">
            <w:pPr>
              <w:spacing w:after="0" w:line="240" w:lineRule="auto"/>
              <w:rPr>
                <w:rFonts w:ascii="Arial" w:hAnsi="Arial" w:cs="Arial"/>
              </w:rPr>
            </w:pPr>
            <w:r w:rsidRPr="00AC0513">
              <w:rPr>
                <w:rFonts w:ascii="Arial" w:hAnsi="Arial" w:cs="Arial"/>
              </w:rPr>
              <w:t xml:space="preserve">törvényességi felülvizsgálat </w:t>
            </w:r>
          </w:p>
          <w:p w:rsidR="007A5695" w:rsidRPr="00AC0513" w:rsidRDefault="007A5695" w:rsidP="00476DD3">
            <w:pPr>
              <w:spacing w:after="0" w:line="240" w:lineRule="auto"/>
              <w:rPr>
                <w:rFonts w:ascii="Arial" w:hAnsi="Arial" w:cs="Arial"/>
              </w:rPr>
            </w:pPr>
          </w:p>
        </w:tc>
        <w:tc>
          <w:tcPr>
            <w:tcW w:w="1843" w:type="dxa"/>
          </w:tcPr>
          <w:p w:rsidR="007A5695" w:rsidRPr="00AC0513" w:rsidRDefault="007A5695" w:rsidP="00476DD3">
            <w:pPr>
              <w:spacing w:after="0" w:line="240" w:lineRule="auto"/>
              <w:jc w:val="center"/>
              <w:rPr>
                <w:rFonts w:ascii="Arial" w:hAnsi="Arial" w:cs="Arial"/>
              </w:rPr>
            </w:pPr>
          </w:p>
        </w:tc>
        <w:tc>
          <w:tcPr>
            <w:tcW w:w="3330" w:type="dxa"/>
          </w:tcPr>
          <w:p w:rsidR="007A5695" w:rsidRPr="00AC0513" w:rsidRDefault="007A5695" w:rsidP="00476DD3">
            <w:pPr>
              <w:spacing w:after="0" w:line="240" w:lineRule="auto"/>
              <w:jc w:val="center"/>
              <w:rPr>
                <w:rFonts w:ascii="Arial" w:hAnsi="Arial" w:cs="Arial"/>
              </w:rPr>
            </w:pPr>
          </w:p>
        </w:tc>
      </w:tr>
    </w:tbl>
    <w:p w:rsidR="007A5695" w:rsidRPr="00AC0513" w:rsidRDefault="007A5695" w:rsidP="007A5695">
      <w:pPr>
        <w:jc w:val="center"/>
        <w:rPr>
          <w:rFonts w:ascii="Arial" w:hAnsi="Arial" w:cs="Arial"/>
        </w:rPr>
      </w:pPr>
    </w:p>
    <w:p w:rsidR="007A5695" w:rsidRPr="00867E47"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867E47" w:rsidRPr="00867E47">
        <w:trPr>
          <w:trHeight w:val="277"/>
        </w:trPr>
        <w:tc>
          <w:tcPr>
            <w:tcW w:w="10008" w:type="dxa"/>
            <w:gridSpan w:val="4"/>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Külsős partner </w:t>
            </w:r>
          </w:p>
        </w:tc>
      </w:tr>
      <w:tr w:rsidR="00867E47" w:rsidRPr="00867E47">
        <w:trPr>
          <w:trHeight w:val="277"/>
        </w:trPr>
        <w:tc>
          <w:tcPr>
            <w:tcW w:w="2684"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Név</w:t>
            </w:r>
          </w:p>
        </w:tc>
        <w:tc>
          <w:tcPr>
            <w:tcW w:w="239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beosztás</w:t>
            </w:r>
          </w:p>
        </w:tc>
        <w:tc>
          <w:tcPr>
            <w:tcW w:w="1760"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aláírás</w:t>
            </w:r>
          </w:p>
        </w:tc>
        <w:tc>
          <w:tcPr>
            <w:tcW w:w="3174" w:type="dxa"/>
          </w:tcPr>
          <w:p w:rsidR="007A5695" w:rsidRPr="00867E47" w:rsidRDefault="007A5695" w:rsidP="00476DD3">
            <w:pPr>
              <w:spacing w:after="0" w:line="240" w:lineRule="auto"/>
              <w:jc w:val="center"/>
              <w:rPr>
                <w:rFonts w:ascii="Arial" w:hAnsi="Arial" w:cs="Arial"/>
                <w:b/>
              </w:rPr>
            </w:pPr>
            <w:r w:rsidRPr="00867E47">
              <w:rPr>
                <w:rFonts w:ascii="Arial" w:hAnsi="Arial" w:cs="Arial"/>
                <w:b/>
              </w:rPr>
              <w:t xml:space="preserve">megjegyzés </w:t>
            </w:r>
          </w:p>
        </w:tc>
      </w:tr>
      <w:tr w:rsidR="00867E47" w:rsidRPr="00867E47">
        <w:trPr>
          <w:trHeight w:val="277"/>
        </w:trPr>
        <w:tc>
          <w:tcPr>
            <w:tcW w:w="2684" w:type="dxa"/>
          </w:tcPr>
          <w:p w:rsidR="007A5695" w:rsidRPr="00867E47" w:rsidRDefault="007A5695" w:rsidP="002339CB">
            <w:pPr>
              <w:spacing w:after="0" w:line="240" w:lineRule="auto"/>
              <w:jc w:val="center"/>
              <w:rPr>
                <w:rFonts w:ascii="Arial" w:hAnsi="Arial" w:cs="Arial"/>
                <w:b/>
              </w:rPr>
            </w:pPr>
          </w:p>
        </w:tc>
        <w:tc>
          <w:tcPr>
            <w:tcW w:w="2390" w:type="dxa"/>
          </w:tcPr>
          <w:p w:rsidR="007A5695" w:rsidRPr="00867E47" w:rsidRDefault="007A5695" w:rsidP="00476DD3">
            <w:pPr>
              <w:spacing w:after="0" w:line="240" w:lineRule="auto"/>
              <w:jc w:val="center"/>
              <w:rPr>
                <w:rFonts w:ascii="Arial" w:hAnsi="Arial" w:cs="Arial"/>
                <w:b/>
              </w:rPr>
            </w:pPr>
          </w:p>
        </w:tc>
        <w:tc>
          <w:tcPr>
            <w:tcW w:w="1760" w:type="dxa"/>
          </w:tcPr>
          <w:p w:rsidR="007A5695" w:rsidRPr="00867E47" w:rsidRDefault="007A5695" w:rsidP="00476DD3">
            <w:pPr>
              <w:spacing w:after="0" w:line="240" w:lineRule="auto"/>
              <w:jc w:val="center"/>
              <w:rPr>
                <w:rFonts w:ascii="Arial" w:hAnsi="Arial" w:cs="Arial"/>
                <w:b/>
              </w:rPr>
            </w:pPr>
          </w:p>
        </w:tc>
        <w:tc>
          <w:tcPr>
            <w:tcW w:w="3174" w:type="dxa"/>
          </w:tcPr>
          <w:p w:rsidR="007A5695" w:rsidRPr="00867E47" w:rsidRDefault="007A5695" w:rsidP="00476DD3">
            <w:pPr>
              <w:spacing w:after="0" w:line="240" w:lineRule="auto"/>
              <w:jc w:val="center"/>
              <w:rPr>
                <w:rFonts w:ascii="Arial" w:hAnsi="Arial" w:cs="Arial"/>
                <w:b/>
              </w:rPr>
            </w:pPr>
          </w:p>
        </w:tc>
      </w:tr>
      <w:tr w:rsidR="00F7042A" w:rsidRPr="00867E47">
        <w:trPr>
          <w:trHeight w:val="277"/>
        </w:trPr>
        <w:tc>
          <w:tcPr>
            <w:tcW w:w="2684" w:type="dxa"/>
          </w:tcPr>
          <w:p w:rsidR="00F7042A" w:rsidRPr="00867E47" w:rsidRDefault="00F7042A" w:rsidP="00476DD3">
            <w:pPr>
              <w:spacing w:after="0" w:line="240" w:lineRule="auto"/>
              <w:jc w:val="center"/>
              <w:rPr>
                <w:rFonts w:ascii="Arial" w:hAnsi="Arial" w:cs="Arial"/>
                <w:b/>
              </w:rPr>
            </w:pPr>
          </w:p>
        </w:tc>
        <w:tc>
          <w:tcPr>
            <w:tcW w:w="2390" w:type="dxa"/>
          </w:tcPr>
          <w:p w:rsidR="00F7042A" w:rsidRPr="00867E47" w:rsidRDefault="00F7042A" w:rsidP="008549E4">
            <w:pPr>
              <w:spacing w:after="0" w:line="240" w:lineRule="auto"/>
              <w:jc w:val="center"/>
              <w:rPr>
                <w:rFonts w:ascii="Arial" w:hAnsi="Arial" w:cs="Arial"/>
                <w:b/>
              </w:rPr>
            </w:pPr>
          </w:p>
        </w:tc>
        <w:tc>
          <w:tcPr>
            <w:tcW w:w="1760" w:type="dxa"/>
          </w:tcPr>
          <w:p w:rsidR="00F7042A" w:rsidRPr="00867E47" w:rsidRDefault="00F7042A" w:rsidP="00476DD3">
            <w:pPr>
              <w:spacing w:after="0" w:line="240" w:lineRule="auto"/>
              <w:jc w:val="center"/>
              <w:rPr>
                <w:rFonts w:ascii="Arial" w:hAnsi="Arial" w:cs="Arial"/>
                <w:b/>
              </w:rPr>
            </w:pPr>
          </w:p>
        </w:tc>
        <w:tc>
          <w:tcPr>
            <w:tcW w:w="3174" w:type="dxa"/>
          </w:tcPr>
          <w:p w:rsidR="00F7042A" w:rsidRPr="00867E47" w:rsidRDefault="00F7042A" w:rsidP="00476DD3">
            <w:pPr>
              <w:spacing w:after="0" w:line="240" w:lineRule="auto"/>
              <w:jc w:val="center"/>
              <w:rPr>
                <w:rFonts w:ascii="Arial" w:hAnsi="Arial" w:cs="Arial"/>
                <w:b/>
              </w:rPr>
            </w:pPr>
          </w:p>
        </w:tc>
      </w:tr>
    </w:tbl>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4F003C" w:rsidRPr="00867E47" w:rsidRDefault="004F003C" w:rsidP="00B42B93">
      <w:pPr>
        <w:ind w:left="360"/>
        <w:rPr>
          <w:rFonts w:ascii="Arial" w:hAnsi="Arial" w:cs="Arial"/>
        </w:rPr>
      </w:pPr>
    </w:p>
    <w:p w:rsidR="00EC17CA" w:rsidRPr="00867E47" w:rsidRDefault="00EC17CA" w:rsidP="00EC17CA">
      <w:pPr>
        <w:jc w:val="center"/>
        <w:rPr>
          <w:rFonts w:ascii="Arial" w:hAnsi="Arial" w:cs="Arial"/>
          <w:b/>
          <w:sz w:val="24"/>
          <w:szCs w:val="24"/>
        </w:rPr>
      </w:pPr>
    </w:p>
    <w:sectPr w:rsidR="00EC17CA" w:rsidRPr="00867E47" w:rsidSect="00E63E43">
      <w:footerReference w:type="even" r:id="rId14"/>
      <w:footerReference w:type="default" r:id="rId15"/>
      <w:headerReference w:type="first" r:id="rId16"/>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C3F" w:rsidRDefault="00644C3F" w:rsidP="00980239">
      <w:pPr>
        <w:spacing w:after="0" w:line="240" w:lineRule="auto"/>
      </w:pPr>
      <w:r>
        <w:separator/>
      </w:r>
    </w:p>
  </w:endnote>
  <w:endnote w:type="continuationSeparator" w:id="0">
    <w:p w:rsidR="00644C3F" w:rsidRDefault="00644C3F"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C3F" w:rsidRDefault="00644C3F"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44C3F" w:rsidRDefault="00644C3F">
    <w:pPr>
      <w:pStyle w:val="llb"/>
    </w:pPr>
  </w:p>
  <w:p w:rsidR="00644C3F" w:rsidRDefault="00644C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C3F" w:rsidRDefault="00644C3F"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rsidR="00644C3F" w:rsidRDefault="00644C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C3F" w:rsidRDefault="00644C3F" w:rsidP="00980239">
      <w:pPr>
        <w:spacing w:after="0" w:line="240" w:lineRule="auto"/>
      </w:pPr>
      <w:r>
        <w:separator/>
      </w:r>
    </w:p>
  </w:footnote>
  <w:footnote w:type="continuationSeparator" w:id="0">
    <w:p w:rsidR="00644C3F" w:rsidRDefault="00644C3F"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C3F" w:rsidRDefault="00644C3F"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4C3F" w:rsidRDefault="00644C3F" w:rsidP="00B12CDF">
    <w:pPr>
      <w:pStyle w:val="lfej"/>
      <w:tabs>
        <w:tab w:val="clear" w:pos="4536"/>
        <w:tab w:val="clear" w:pos="9072"/>
      </w:tabs>
    </w:pPr>
  </w:p>
  <w:p w:rsidR="00644C3F" w:rsidRDefault="00644C3F" w:rsidP="00B12CDF">
    <w:pPr>
      <w:pStyle w:val="lfej"/>
      <w:tabs>
        <w:tab w:val="clear" w:pos="4536"/>
        <w:tab w:val="clear" w:pos="9072"/>
      </w:tabs>
    </w:pPr>
  </w:p>
  <w:p w:rsidR="00644C3F" w:rsidRDefault="00644C3F"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4C3F" w:rsidRPr="00C05199" w:rsidRDefault="00644C3F"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644C3F" w:rsidRDefault="00644C3F"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644C3F" w:rsidRDefault="00644C3F"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644C3F" w:rsidRPr="00AB14F3">
                            <w:trPr>
                              <w:trHeight w:val="1531"/>
                            </w:trPr>
                            <w:tc>
                              <w:tcPr>
                                <w:tcW w:w="3685" w:type="dxa"/>
                              </w:tcPr>
                              <w:p w:rsidR="00644C3F" w:rsidRPr="00A101F2" w:rsidRDefault="00644C3F" w:rsidP="00A101F2">
                                <w:pPr>
                                  <w:spacing w:before="57" w:after="0" w:line="240" w:lineRule="auto"/>
                                  <w:ind w:right="227"/>
                                  <w:rPr>
                                    <w:rFonts w:ascii="ScalaSans" w:hAnsi="ScalaSans"/>
                                    <w:color w:val="808080"/>
                                    <w:spacing w:val="6"/>
                                  </w:rPr>
                                </w:pPr>
                              </w:p>
                              <w:p w:rsidR="00644C3F" w:rsidRPr="00D15388" w:rsidRDefault="00644C3F" w:rsidP="00A101F2">
                                <w:pPr>
                                  <w:spacing w:before="57" w:after="0" w:line="240" w:lineRule="auto"/>
                                  <w:ind w:right="227"/>
                                  <w:rPr>
                                    <w:rFonts w:ascii="ScalaSans" w:hAnsi="ScalaSans" w:cs="ScalaSans"/>
                                    <w:color w:val="808080"/>
                                    <w:spacing w:val="6"/>
                                  </w:rPr>
                                </w:pPr>
                              </w:p>
                            </w:tc>
                            <w:tc>
                              <w:tcPr>
                                <w:tcW w:w="4535" w:type="dxa"/>
                              </w:tcPr>
                              <w:p w:rsidR="00644C3F" w:rsidRPr="00D15388" w:rsidRDefault="00644C3F" w:rsidP="00A101F2">
                                <w:pPr>
                                  <w:spacing w:before="57" w:after="0" w:line="240" w:lineRule="auto"/>
                                  <w:rPr>
                                    <w:rFonts w:ascii="ScalaSans" w:hAnsi="ScalaSans" w:cs="ScalaSans"/>
                                    <w:color w:val="808080"/>
                                    <w:spacing w:val="2"/>
                                    <w:sz w:val="24"/>
                                    <w:szCs w:val="24"/>
                                  </w:rPr>
                                </w:pPr>
                              </w:p>
                            </w:tc>
                          </w:tr>
                        </w:tbl>
                        <w:p w:rsidR="00644C3F" w:rsidRDefault="00644C3F" w:rsidP="00B12CDF">
                          <w:pPr>
                            <w:pStyle w:val="BasicParagraph"/>
                            <w:spacing w:line="240" w:lineRule="auto"/>
                            <w:rPr>
                              <w:rFonts w:ascii="ScalaSans" w:hAnsi="ScalaSans" w:cs="ScalaSans"/>
                              <w:color w:val="auto"/>
                              <w:spacing w:val="7"/>
                            </w:rPr>
                          </w:pPr>
                        </w:p>
                        <w:p w:rsidR="00644C3F" w:rsidRPr="00763423" w:rsidRDefault="00644C3F"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644C3F" w:rsidRPr="00C05199" w:rsidRDefault="00644C3F"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644C3F" w:rsidRDefault="00644C3F"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644C3F" w:rsidRDefault="00644C3F"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644C3F" w:rsidRPr="00AB14F3">
                      <w:trPr>
                        <w:trHeight w:val="1531"/>
                      </w:trPr>
                      <w:tc>
                        <w:tcPr>
                          <w:tcW w:w="3685" w:type="dxa"/>
                        </w:tcPr>
                        <w:p w:rsidR="00644C3F" w:rsidRPr="00A101F2" w:rsidRDefault="00644C3F" w:rsidP="00A101F2">
                          <w:pPr>
                            <w:spacing w:before="57" w:after="0" w:line="240" w:lineRule="auto"/>
                            <w:ind w:right="227"/>
                            <w:rPr>
                              <w:rFonts w:ascii="ScalaSans" w:hAnsi="ScalaSans"/>
                              <w:color w:val="808080"/>
                              <w:spacing w:val="6"/>
                            </w:rPr>
                          </w:pPr>
                        </w:p>
                        <w:p w:rsidR="00644C3F" w:rsidRPr="00D15388" w:rsidRDefault="00644C3F" w:rsidP="00A101F2">
                          <w:pPr>
                            <w:spacing w:before="57" w:after="0" w:line="240" w:lineRule="auto"/>
                            <w:ind w:right="227"/>
                            <w:rPr>
                              <w:rFonts w:ascii="ScalaSans" w:hAnsi="ScalaSans" w:cs="ScalaSans"/>
                              <w:color w:val="808080"/>
                              <w:spacing w:val="6"/>
                            </w:rPr>
                          </w:pPr>
                        </w:p>
                      </w:tc>
                      <w:tc>
                        <w:tcPr>
                          <w:tcW w:w="4535" w:type="dxa"/>
                        </w:tcPr>
                        <w:p w:rsidR="00644C3F" w:rsidRPr="00D15388" w:rsidRDefault="00644C3F" w:rsidP="00A101F2">
                          <w:pPr>
                            <w:spacing w:before="57" w:after="0" w:line="240" w:lineRule="auto"/>
                            <w:rPr>
                              <w:rFonts w:ascii="ScalaSans" w:hAnsi="ScalaSans" w:cs="ScalaSans"/>
                              <w:color w:val="808080"/>
                              <w:spacing w:val="2"/>
                              <w:sz w:val="24"/>
                              <w:szCs w:val="24"/>
                            </w:rPr>
                          </w:pPr>
                        </w:p>
                      </w:tc>
                    </w:tr>
                  </w:tbl>
                  <w:p w:rsidR="00644C3F" w:rsidRDefault="00644C3F" w:rsidP="00B12CDF">
                    <w:pPr>
                      <w:pStyle w:val="BasicParagraph"/>
                      <w:spacing w:line="240" w:lineRule="auto"/>
                      <w:rPr>
                        <w:rFonts w:ascii="ScalaSans" w:hAnsi="ScalaSans" w:cs="ScalaSans"/>
                        <w:color w:val="auto"/>
                        <w:spacing w:val="7"/>
                      </w:rPr>
                    </w:pPr>
                  </w:p>
                  <w:p w:rsidR="00644C3F" w:rsidRPr="00763423" w:rsidRDefault="00644C3F"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644C3F" w:rsidRDefault="00644C3F"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0FE3"/>
    <w:multiLevelType w:val="multilevel"/>
    <w:tmpl w:val="D6FE6C8E"/>
    <w:lvl w:ilvl="0">
      <w:start w:val="2"/>
      <w:numFmt w:val="decimal"/>
      <w:lvlText w:val="%1."/>
      <w:lvlJc w:val="left"/>
      <w:pPr>
        <w:ind w:left="360" w:hanging="360"/>
      </w:pPr>
      <w:rPr>
        <w:rFonts w:hint="default"/>
        <w:b/>
      </w:rPr>
    </w:lvl>
    <w:lvl w:ilv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0176FD3"/>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 w15:restartNumberingAfterBreak="0">
    <w:nsid w:val="101F1EAE"/>
    <w:multiLevelType w:val="hybridMultilevel"/>
    <w:tmpl w:val="A636D4F0"/>
    <w:lvl w:ilvl="0" w:tplc="D736F21C">
      <w:start w:val="6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09309A2"/>
    <w:multiLevelType w:val="hybridMultilevel"/>
    <w:tmpl w:val="EF3EA796"/>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D0219F"/>
    <w:multiLevelType w:val="hybridMultilevel"/>
    <w:tmpl w:val="EC8AF0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ADA18D6"/>
    <w:multiLevelType w:val="hybridMultilevel"/>
    <w:tmpl w:val="F0C8E9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D805060"/>
    <w:multiLevelType w:val="hybridMultilevel"/>
    <w:tmpl w:val="F7F640E8"/>
    <w:lvl w:ilvl="0" w:tplc="C85CFC4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BC1DCA"/>
    <w:multiLevelType w:val="hybridMultilevel"/>
    <w:tmpl w:val="A732A4FA"/>
    <w:lvl w:ilvl="0" w:tplc="65A023B8">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A851828"/>
    <w:multiLevelType w:val="multilevel"/>
    <w:tmpl w:val="90360B6E"/>
    <w:lvl w:ilvl="0">
      <w:start w:val="5"/>
      <w:numFmt w:val="bullet"/>
      <w:lvlText w:val="-"/>
      <w:lvlJc w:val="left"/>
      <w:pPr>
        <w:tabs>
          <w:tab w:val="num" w:pos="720"/>
        </w:tabs>
        <w:ind w:left="720" w:hanging="360"/>
      </w:pPr>
      <w:rPr>
        <w:rFonts w:ascii="Arial" w:eastAsiaTheme="minorHAnsi" w:hAnsi="Arial" w:cs="Aria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37D1F6E"/>
    <w:multiLevelType w:val="multilevel"/>
    <w:tmpl w:val="DECCBC7C"/>
    <w:lvl w:ilvl="0">
      <w:start w:val="2"/>
      <w:numFmt w:val="decimal"/>
      <w:lvlText w:val="%1."/>
      <w:lvlJc w:val="left"/>
      <w:pPr>
        <w:ind w:left="360" w:hanging="360"/>
      </w:pPr>
      <w:rPr>
        <w:rFonts w:hint="default"/>
        <w:b/>
      </w:rPr>
    </w:lvl>
    <w:lvl w:ilvl="1">
      <w:start w:val="5"/>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5A374440"/>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1" w15:restartNumberingAfterBreak="0">
    <w:nsid w:val="5E442A8B"/>
    <w:multiLevelType w:val="hybridMultilevel"/>
    <w:tmpl w:val="1AE401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1082F65"/>
    <w:multiLevelType w:val="hybridMultilevel"/>
    <w:tmpl w:val="939090D8"/>
    <w:lvl w:ilvl="0" w:tplc="206AFA44">
      <w:start w:val="5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3BC32DE"/>
    <w:multiLevelType w:val="hybridMultilevel"/>
    <w:tmpl w:val="584A9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4BD3747"/>
    <w:multiLevelType w:val="multilevel"/>
    <w:tmpl w:val="D7E295C2"/>
    <w:lvl w:ilvl="0">
      <w:start w:val="2"/>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508" w:hanging="1800"/>
      </w:pPr>
      <w:rPr>
        <w:rFonts w:hint="default"/>
      </w:rPr>
    </w:lvl>
  </w:abstractNum>
  <w:abstractNum w:abstractNumId="26" w15:restartNumberingAfterBreak="0">
    <w:nsid w:val="7B9F5D78"/>
    <w:multiLevelType w:val="multilevel"/>
    <w:tmpl w:val="3AA6635A"/>
    <w:lvl w:ilvl="0">
      <w:start w:val="5"/>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5"/>
  </w:num>
  <w:num w:numId="3">
    <w:abstractNumId w:val="2"/>
  </w:num>
  <w:num w:numId="4">
    <w:abstractNumId w:val="13"/>
  </w:num>
  <w:num w:numId="5">
    <w:abstractNumId w:val="16"/>
  </w:num>
  <w:num w:numId="6">
    <w:abstractNumId w:val="6"/>
  </w:num>
  <w:num w:numId="7">
    <w:abstractNumId w:val="15"/>
  </w:num>
  <w:num w:numId="8">
    <w:abstractNumId w:val="18"/>
  </w:num>
  <w:num w:numId="9">
    <w:abstractNumId w:val="1"/>
  </w:num>
  <w:num w:numId="10">
    <w:abstractNumId w:val="22"/>
  </w:num>
  <w:num w:numId="11">
    <w:abstractNumId w:val="8"/>
  </w:num>
  <w:num w:numId="12">
    <w:abstractNumId w:val="11"/>
  </w:num>
  <w:num w:numId="13">
    <w:abstractNumId w:val="12"/>
  </w:num>
  <w:num w:numId="1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1"/>
  </w:num>
  <w:num w:numId="17">
    <w:abstractNumId w:val="3"/>
  </w:num>
  <w:num w:numId="18">
    <w:abstractNumId w:val="17"/>
  </w:num>
  <w:num w:numId="19">
    <w:abstractNumId w:val="26"/>
  </w:num>
  <w:num w:numId="20">
    <w:abstractNumId w:val="10"/>
  </w:num>
  <w:num w:numId="21">
    <w:abstractNumId w:val="22"/>
  </w:num>
  <w:num w:numId="22">
    <w:abstractNumId w:val="19"/>
  </w:num>
  <w:num w:numId="23">
    <w:abstractNumId w:val="0"/>
  </w:num>
  <w:num w:numId="24">
    <w:abstractNumId w:val="7"/>
  </w:num>
  <w:num w:numId="25">
    <w:abstractNumId w:val="9"/>
  </w:num>
  <w:num w:numId="26">
    <w:abstractNumId w:val="24"/>
  </w:num>
  <w:num w:numId="27">
    <w:abstractNumId w:val="4"/>
  </w:num>
  <w:num w:numId="28">
    <w:abstractNumId w:val="20"/>
  </w:num>
  <w:num w:numId="29">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014E"/>
    <w:rsid w:val="00002207"/>
    <w:rsid w:val="00010EBB"/>
    <w:rsid w:val="00011EF7"/>
    <w:rsid w:val="0001430F"/>
    <w:rsid w:val="000145E7"/>
    <w:rsid w:val="0001485D"/>
    <w:rsid w:val="00015917"/>
    <w:rsid w:val="000174EF"/>
    <w:rsid w:val="0002289E"/>
    <w:rsid w:val="00023AC4"/>
    <w:rsid w:val="000241F8"/>
    <w:rsid w:val="000267B9"/>
    <w:rsid w:val="00035D9E"/>
    <w:rsid w:val="00036C0F"/>
    <w:rsid w:val="00040599"/>
    <w:rsid w:val="00042B2A"/>
    <w:rsid w:val="000443EA"/>
    <w:rsid w:val="00046E13"/>
    <w:rsid w:val="00052F87"/>
    <w:rsid w:val="000542EE"/>
    <w:rsid w:val="00054B8A"/>
    <w:rsid w:val="000550DD"/>
    <w:rsid w:val="00056345"/>
    <w:rsid w:val="00056E5B"/>
    <w:rsid w:val="00061317"/>
    <w:rsid w:val="00062E44"/>
    <w:rsid w:val="00065464"/>
    <w:rsid w:val="000660BC"/>
    <w:rsid w:val="0006724C"/>
    <w:rsid w:val="00067C84"/>
    <w:rsid w:val="00070BE7"/>
    <w:rsid w:val="000710C8"/>
    <w:rsid w:val="000730B1"/>
    <w:rsid w:val="00076910"/>
    <w:rsid w:val="00080171"/>
    <w:rsid w:val="000804B3"/>
    <w:rsid w:val="000812FC"/>
    <w:rsid w:val="00081E2A"/>
    <w:rsid w:val="00083F6B"/>
    <w:rsid w:val="00085129"/>
    <w:rsid w:val="00085919"/>
    <w:rsid w:val="00087840"/>
    <w:rsid w:val="000878BA"/>
    <w:rsid w:val="000930E7"/>
    <w:rsid w:val="00095936"/>
    <w:rsid w:val="00095969"/>
    <w:rsid w:val="000969E2"/>
    <w:rsid w:val="00096B08"/>
    <w:rsid w:val="00096CEA"/>
    <w:rsid w:val="000A0B42"/>
    <w:rsid w:val="000A0CA6"/>
    <w:rsid w:val="000A1A87"/>
    <w:rsid w:val="000A3591"/>
    <w:rsid w:val="000A5CBB"/>
    <w:rsid w:val="000B05F1"/>
    <w:rsid w:val="000B07DC"/>
    <w:rsid w:val="000B0CB2"/>
    <w:rsid w:val="000B2296"/>
    <w:rsid w:val="000B5999"/>
    <w:rsid w:val="000B638B"/>
    <w:rsid w:val="000C0C45"/>
    <w:rsid w:val="000C22D8"/>
    <w:rsid w:val="000C64AD"/>
    <w:rsid w:val="000D2A6E"/>
    <w:rsid w:val="000D5866"/>
    <w:rsid w:val="000D6570"/>
    <w:rsid w:val="000E138D"/>
    <w:rsid w:val="000E2BA3"/>
    <w:rsid w:val="000E4C5D"/>
    <w:rsid w:val="000E5BA6"/>
    <w:rsid w:val="000E7C51"/>
    <w:rsid w:val="000F070E"/>
    <w:rsid w:val="000F190C"/>
    <w:rsid w:val="000F3457"/>
    <w:rsid w:val="000F753F"/>
    <w:rsid w:val="00100C93"/>
    <w:rsid w:val="001024FE"/>
    <w:rsid w:val="00104A07"/>
    <w:rsid w:val="001078F9"/>
    <w:rsid w:val="00107986"/>
    <w:rsid w:val="001101F2"/>
    <w:rsid w:val="001122BD"/>
    <w:rsid w:val="00112AA4"/>
    <w:rsid w:val="00113CBB"/>
    <w:rsid w:val="00114B5A"/>
    <w:rsid w:val="00117905"/>
    <w:rsid w:val="001234F3"/>
    <w:rsid w:val="00124B85"/>
    <w:rsid w:val="00125429"/>
    <w:rsid w:val="00126B56"/>
    <w:rsid w:val="001274F8"/>
    <w:rsid w:val="00127572"/>
    <w:rsid w:val="001312C5"/>
    <w:rsid w:val="0013372E"/>
    <w:rsid w:val="00133FB4"/>
    <w:rsid w:val="00134427"/>
    <w:rsid w:val="0013487C"/>
    <w:rsid w:val="00136334"/>
    <w:rsid w:val="001408ED"/>
    <w:rsid w:val="001410DC"/>
    <w:rsid w:val="00141493"/>
    <w:rsid w:val="001449C9"/>
    <w:rsid w:val="00150F54"/>
    <w:rsid w:val="00151E7D"/>
    <w:rsid w:val="00154584"/>
    <w:rsid w:val="00155238"/>
    <w:rsid w:val="001557C6"/>
    <w:rsid w:val="0015722B"/>
    <w:rsid w:val="00157B65"/>
    <w:rsid w:val="00162823"/>
    <w:rsid w:val="0016436E"/>
    <w:rsid w:val="00165CD7"/>
    <w:rsid w:val="0017067F"/>
    <w:rsid w:val="00171256"/>
    <w:rsid w:val="001728AE"/>
    <w:rsid w:val="001729A0"/>
    <w:rsid w:val="00174509"/>
    <w:rsid w:val="001805A0"/>
    <w:rsid w:val="00183CC1"/>
    <w:rsid w:val="00184378"/>
    <w:rsid w:val="001871B5"/>
    <w:rsid w:val="00187CCB"/>
    <w:rsid w:val="00190441"/>
    <w:rsid w:val="00190DAB"/>
    <w:rsid w:val="00192550"/>
    <w:rsid w:val="001925F2"/>
    <w:rsid w:val="00194223"/>
    <w:rsid w:val="00194B82"/>
    <w:rsid w:val="001970A4"/>
    <w:rsid w:val="001A0FA3"/>
    <w:rsid w:val="001A2530"/>
    <w:rsid w:val="001A5F13"/>
    <w:rsid w:val="001B108A"/>
    <w:rsid w:val="001B1145"/>
    <w:rsid w:val="001B2599"/>
    <w:rsid w:val="001B3060"/>
    <w:rsid w:val="001B35E5"/>
    <w:rsid w:val="001B374A"/>
    <w:rsid w:val="001B3C83"/>
    <w:rsid w:val="001C11DC"/>
    <w:rsid w:val="001C18D0"/>
    <w:rsid w:val="001C4CAE"/>
    <w:rsid w:val="001C6557"/>
    <w:rsid w:val="001D009A"/>
    <w:rsid w:val="001D1128"/>
    <w:rsid w:val="001D2FEF"/>
    <w:rsid w:val="001D34E7"/>
    <w:rsid w:val="001D3734"/>
    <w:rsid w:val="001D3C25"/>
    <w:rsid w:val="001D45C7"/>
    <w:rsid w:val="001D751E"/>
    <w:rsid w:val="001E00D4"/>
    <w:rsid w:val="001E2B7D"/>
    <w:rsid w:val="001E32D4"/>
    <w:rsid w:val="001E4A52"/>
    <w:rsid w:val="001E53F4"/>
    <w:rsid w:val="001E5EA2"/>
    <w:rsid w:val="001E6D84"/>
    <w:rsid w:val="001E77AA"/>
    <w:rsid w:val="001F05B8"/>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2DB"/>
    <w:rsid w:val="00223A87"/>
    <w:rsid w:val="00224295"/>
    <w:rsid w:val="0022472D"/>
    <w:rsid w:val="00224DAA"/>
    <w:rsid w:val="00227CE7"/>
    <w:rsid w:val="002303CE"/>
    <w:rsid w:val="0023059D"/>
    <w:rsid w:val="002311B0"/>
    <w:rsid w:val="00233246"/>
    <w:rsid w:val="00233492"/>
    <w:rsid w:val="00233670"/>
    <w:rsid w:val="00233937"/>
    <w:rsid w:val="002339CB"/>
    <w:rsid w:val="002343AC"/>
    <w:rsid w:val="00234FA2"/>
    <w:rsid w:val="00235A97"/>
    <w:rsid w:val="002361AF"/>
    <w:rsid w:val="0023721A"/>
    <w:rsid w:val="002410F7"/>
    <w:rsid w:val="00246584"/>
    <w:rsid w:val="00246B33"/>
    <w:rsid w:val="00246B3E"/>
    <w:rsid w:val="00250A8C"/>
    <w:rsid w:val="00253E43"/>
    <w:rsid w:val="00253F1D"/>
    <w:rsid w:val="00254F0D"/>
    <w:rsid w:val="002566B7"/>
    <w:rsid w:val="00257C78"/>
    <w:rsid w:val="0026024A"/>
    <w:rsid w:val="002605F5"/>
    <w:rsid w:val="00263FDA"/>
    <w:rsid w:val="00264A7E"/>
    <w:rsid w:val="002658C0"/>
    <w:rsid w:val="0026793D"/>
    <w:rsid w:val="00267CD8"/>
    <w:rsid w:val="002710F9"/>
    <w:rsid w:val="00271301"/>
    <w:rsid w:val="00271447"/>
    <w:rsid w:val="00271BD0"/>
    <w:rsid w:val="00272531"/>
    <w:rsid w:val="00273AA1"/>
    <w:rsid w:val="002830E0"/>
    <w:rsid w:val="0028388D"/>
    <w:rsid w:val="00284834"/>
    <w:rsid w:val="00285EC8"/>
    <w:rsid w:val="002860D4"/>
    <w:rsid w:val="00287240"/>
    <w:rsid w:val="0029175B"/>
    <w:rsid w:val="00293921"/>
    <w:rsid w:val="00294C84"/>
    <w:rsid w:val="00295741"/>
    <w:rsid w:val="002A36AE"/>
    <w:rsid w:val="002A4ECF"/>
    <w:rsid w:val="002A589C"/>
    <w:rsid w:val="002B076F"/>
    <w:rsid w:val="002B286F"/>
    <w:rsid w:val="002B43B9"/>
    <w:rsid w:val="002B789F"/>
    <w:rsid w:val="002C1DC6"/>
    <w:rsid w:val="002C30E8"/>
    <w:rsid w:val="002C7472"/>
    <w:rsid w:val="002D015E"/>
    <w:rsid w:val="002D13A9"/>
    <w:rsid w:val="002D20D3"/>
    <w:rsid w:val="002D2D27"/>
    <w:rsid w:val="002D30F1"/>
    <w:rsid w:val="002D48E6"/>
    <w:rsid w:val="002D4BC8"/>
    <w:rsid w:val="002D6593"/>
    <w:rsid w:val="002D7842"/>
    <w:rsid w:val="002E1F3C"/>
    <w:rsid w:val="002E28A0"/>
    <w:rsid w:val="002E2C07"/>
    <w:rsid w:val="002E382B"/>
    <w:rsid w:val="002E5E97"/>
    <w:rsid w:val="002E782A"/>
    <w:rsid w:val="002F1734"/>
    <w:rsid w:val="002F2A5F"/>
    <w:rsid w:val="002F4C75"/>
    <w:rsid w:val="002F5BF7"/>
    <w:rsid w:val="002F640C"/>
    <w:rsid w:val="002F6B2E"/>
    <w:rsid w:val="002F753E"/>
    <w:rsid w:val="002F7754"/>
    <w:rsid w:val="00300F02"/>
    <w:rsid w:val="00301B74"/>
    <w:rsid w:val="00301D08"/>
    <w:rsid w:val="0030569A"/>
    <w:rsid w:val="00305B4C"/>
    <w:rsid w:val="00305FB2"/>
    <w:rsid w:val="003064B0"/>
    <w:rsid w:val="003072C8"/>
    <w:rsid w:val="00310FAB"/>
    <w:rsid w:val="00311CFA"/>
    <w:rsid w:val="00312F56"/>
    <w:rsid w:val="00313F0B"/>
    <w:rsid w:val="00314078"/>
    <w:rsid w:val="003154D7"/>
    <w:rsid w:val="00316E5E"/>
    <w:rsid w:val="00316EE0"/>
    <w:rsid w:val="003205C7"/>
    <w:rsid w:val="00321437"/>
    <w:rsid w:val="00321E50"/>
    <w:rsid w:val="00322C90"/>
    <w:rsid w:val="00323106"/>
    <w:rsid w:val="00326435"/>
    <w:rsid w:val="003275ED"/>
    <w:rsid w:val="00330729"/>
    <w:rsid w:val="00330E8F"/>
    <w:rsid w:val="0033152D"/>
    <w:rsid w:val="003315D9"/>
    <w:rsid w:val="003315DD"/>
    <w:rsid w:val="003337DE"/>
    <w:rsid w:val="00334062"/>
    <w:rsid w:val="00334504"/>
    <w:rsid w:val="00334FEB"/>
    <w:rsid w:val="003358A5"/>
    <w:rsid w:val="00336B04"/>
    <w:rsid w:val="00336F0D"/>
    <w:rsid w:val="00340B91"/>
    <w:rsid w:val="003413F1"/>
    <w:rsid w:val="003415C5"/>
    <w:rsid w:val="00341AD4"/>
    <w:rsid w:val="003439AA"/>
    <w:rsid w:val="003439EC"/>
    <w:rsid w:val="00344CEF"/>
    <w:rsid w:val="00345D98"/>
    <w:rsid w:val="00345EF9"/>
    <w:rsid w:val="003501E1"/>
    <w:rsid w:val="00350FD8"/>
    <w:rsid w:val="003541A8"/>
    <w:rsid w:val="0035452D"/>
    <w:rsid w:val="00354A1C"/>
    <w:rsid w:val="00355AE6"/>
    <w:rsid w:val="003610B3"/>
    <w:rsid w:val="00361BEF"/>
    <w:rsid w:val="00363037"/>
    <w:rsid w:val="003635C0"/>
    <w:rsid w:val="00363963"/>
    <w:rsid w:val="00363C4C"/>
    <w:rsid w:val="00363CAA"/>
    <w:rsid w:val="00366CD9"/>
    <w:rsid w:val="00372231"/>
    <w:rsid w:val="003727F6"/>
    <w:rsid w:val="00372B12"/>
    <w:rsid w:val="00373EF5"/>
    <w:rsid w:val="00376824"/>
    <w:rsid w:val="00377B85"/>
    <w:rsid w:val="00380396"/>
    <w:rsid w:val="003816EC"/>
    <w:rsid w:val="00382C40"/>
    <w:rsid w:val="003835A3"/>
    <w:rsid w:val="00385871"/>
    <w:rsid w:val="003864B0"/>
    <w:rsid w:val="0039063E"/>
    <w:rsid w:val="003909B6"/>
    <w:rsid w:val="00392AB1"/>
    <w:rsid w:val="0039792B"/>
    <w:rsid w:val="00397D06"/>
    <w:rsid w:val="003A06EF"/>
    <w:rsid w:val="003A0C2C"/>
    <w:rsid w:val="003A1770"/>
    <w:rsid w:val="003A1834"/>
    <w:rsid w:val="003A1AC4"/>
    <w:rsid w:val="003A7928"/>
    <w:rsid w:val="003B0E0D"/>
    <w:rsid w:val="003B16A1"/>
    <w:rsid w:val="003B401C"/>
    <w:rsid w:val="003B4638"/>
    <w:rsid w:val="003B4830"/>
    <w:rsid w:val="003B4F7E"/>
    <w:rsid w:val="003B5241"/>
    <w:rsid w:val="003B6806"/>
    <w:rsid w:val="003C33A3"/>
    <w:rsid w:val="003C7342"/>
    <w:rsid w:val="003C7E03"/>
    <w:rsid w:val="003D0B29"/>
    <w:rsid w:val="003D14F5"/>
    <w:rsid w:val="003D1965"/>
    <w:rsid w:val="003D22D3"/>
    <w:rsid w:val="003D3EFE"/>
    <w:rsid w:val="003D5C9B"/>
    <w:rsid w:val="003D6422"/>
    <w:rsid w:val="003E2ED9"/>
    <w:rsid w:val="003E2F49"/>
    <w:rsid w:val="003E329B"/>
    <w:rsid w:val="003E4CE7"/>
    <w:rsid w:val="003E5685"/>
    <w:rsid w:val="003E6E14"/>
    <w:rsid w:val="003F1F72"/>
    <w:rsid w:val="003F349C"/>
    <w:rsid w:val="003F4419"/>
    <w:rsid w:val="003F5EF4"/>
    <w:rsid w:val="003F7C9C"/>
    <w:rsid w:val="004035AC"/>
    <w:rsid w:val="00404B69"/>
    <w:rsid w:val="00404CB2"/>
    <w:rsid w:val="004070E4"/>
    <w:rsid w:val="0040792D"/>
    <w:rsid w:val="0041379B"/>
    <w:rsid w:val="00415B63"/>
    <w:rsid w:val="004163BF"/>
    <w:rsid w:val="00416625"/>
    <w:rsid w:val="00416BC4"/>
    <w:rsid w:val="0041752E"/>
    <w:rsid w:val="00417A6E"/>
    <w:rsid w:val="00421778"/>
    <w:rsid w:val="004219A7"/>
    <w:rsid w:val="00421D30"/>
    <w:rsid w:val="0042251B"/>
    <w:rsid w:val="00423473"/>
    <w:rsid w:val="00425B50"/>
    <w:rsid w:val="004269B1"/>
    <w:rsid w:val="00427C16"/>
    <w:rsid w:val="00427FF7"/>
    <w:rsid w:val="00430653"/>
    <w:rsid w:val="00433A8D"/>
    <w:rsid w:val="0043409E"/>
    <w:rsid w:val="0043410F"/>
    <w:rsid w:val="0043571D"/>
    <w:rsid w:val="00435BC8"/>
    <w:rsid w:val="0043730F"/>
    <w:rsid w:val="004406A2"/>
    <w:rsid w:val="00442BE1"/>
    <w:rsid w:val="0044521B"/>
    <w:rsid w:val="004467F5"/>
    <w:rsid w:val="00446E47"/>
    <w:rsid w:val="00446FBC"/>
    <w:rsid w:val="00447105"/>
    <w:rsid w:val="0044715E"/>
    <w:rsid w:val="00447CC7"/>
    <w:rsid w:val="004538E0"/>
    <w:rsid w:val="00454601"/>
    <w:rsid w:val="00455198"/>
    <w:rsid w:val="00455841"/>
    <w:rsid w:val="004563DA"/>
    <w:rsid w:val="0046246C"/>
    <w:rsid w:val="004630B0"/>
    <w:rsid w:val="004632BE"/>
    <w:rsid w:val="00463DE9"/>
    <w:rsid w:val="004643E5"/>
    <w:rsid w:val="00465B21"/>
    <w:rsid w:val="00467DAC"/>
    <w:rsid w:val="004740C0"/>
    <w:rsid w:val="00476DD3"/>
    <w:rsid w:val="00482534"/>
    <w:rsid w:val="00483308"/>
    <w:rsid w:val="00483E9E"/>
    <w:rsid w:val="00484847"/>
    <w:rsid w:val="00484899"/>
    <w:rsid w:val="004873E7"/>
    <w:rsid w:val="00493C37"/>
    <w:rsid w:val="00494555"/>
    <w:rsid w:val="0049484E"/>
    <w:rsid w:val="004956F5"/>
    <w:rsid w:val="00496C66"/>
    <w:rsid w:val="004A0503"/>
    <w:rsid w:val="004A3700"/>
    <w:rsid w:val="004B05F8"/>
    <w:rsid w:val="004B34DE"/>
    <w:rsid w:val="004B3870"/>
    <w:rsid w:val="004C125B"/>
    <w:rsid w:val="004C21F4"/>
    <w:rsid w:val="004C3A0F"/>
    <w:rsid w:val="004C40FF"/>
    <w:rsid w:val="004C47AE"/>
    <w:rsid w:val="004C5C4B"/>
    <w:rsid w:val="004C6329"/>
    <w:rsid w:val="004D1381"/>
    <w:rsid w:val="004D4AE4"/>
    <w:rsid w:val="004D4BE5"/>
    <w:rsid w:val="004D4D8B"/>
    <w:rsid w:val="004D4F2E"/>
    <w:rsid w:val="004D56A5"/>
    <w:rsid w:val="004D5E66"/>
    <w:rsid w:val="004D699C"/>
    <w:rsid w:val="004D69EE"/>
    <w:rsid w:val="004D7143"/>
    <w:rsid w:val="004E0DEE"/>
    <w:rsid w:val="004E1A45"/>
    <w:rsid w:val="004E1A59"/>
    <w:rsid w:val="004E2778"/>
    <w:rsid w:val="004E27EE"/>
    <w:rsid w:val="004E3182"/>
    <w:rsid w:val="004E4AA6"/>
    <w:rsid w:val="004E7993"/>
    <w:rsid w:val="004F003C"/>
    <w:rsid w:val="004F2B70"/>
    <w:rsid w:val="004F37C2"/>
    <w:rsid w:val="004F4B68"/>
    <w:rsid w:val="004F705E"/>
    <w:rsid w:val="004F761B"/>
    <w:rsid w:val="00501D93"/>
    <w:rsid w:val="0050204E"/>
    <w:rsid w:val="005025CF"/>
    <w:rsid w:val="0050344A"/>
    <w:rsid w:val="0050354A"/>
    <w:rsid w:val="00505F17"/>
    <w:rsid w:val="0050698C"/>
    <w:rsid w:val="00507982"/>
    <w:rsid w:val="005101BA"/>
    <w:rsid w:val="00515760"/>
    <w:rsid w:val="00517464"/>
    <w:rsid w:val="00520498"/>
    <w:rsid w:val="00520613"/>
    <w:rsid w:val="005219BC"/>
    <w:rsid w:val="00524660"/>
    <w:rsid w:val="0052542B"/>
    <w:rsid w:val="005254E7"/>
    <w:rsid w:val="0052586D"/>
    <w:rsid w:val="00526985"/>
    <w:rsid w:val="00527774"/>
    <w:rsid w:val="0052787B"/>
    <w:rsid w:val="00530B99"/>
    <w:rsid w:val="00530DF8"/>
    <w:rsid w:val="005349E2"/>
    <w:rsid w:val="00536752"/>
    <w:rsid w:val="0054315A"/>
    <w:rsid w:val="00546EBF"/>
    <w:rsid w:val="005477C3"/>
    <w:rsid w:val="005510AA"/>
    <w:rsid w:val="005539E0"/>
    <w:rsid w:val="00554343"/>
    <w:rsid w:val="00554B52"/>
    <w:rsid w:val="00555725"/>
    <w:rsid w:val="00555F70"/>
    <w:rsid w:val="00557692"/>
    <w:rsid w:val="005628C3"/>
    <w:rsid w:val="00562EED"/>
    <w:rsid w:val="00565994"/>
    <w:rsid w:val="00567512"/>
    <w:rsid w:val="00571A68"/>
    <w:rsid w:val="00572ECF"/>
    <w:rsid w:val="00573C38"/>
    <w:rsid w:val="0057493C"/>
    <w:rsid w:val="00581F3E"/>
    <w:rsid w:val="005821CA"/>
    <w:rsid w:val="00582961"/>
    <w:rsid w:val="00582DB0"/>
    <w:rsid w:val="00583421"/>
    <w:rsid w:val="00583457"/>
    <w:rsid w:val="005851C0"/>
    <w:rsid w:val="00585DF0"/>
    <w:rsid w:val="00586684"/>
    <w:rsid w:val="00587AC7"/>
    <w:rsid w:val="0059067F"/>
    <w:rsid w:val="00592606"/>
    <w:rsid w:val="00592C56"/>
    <w:rsid w:val="0059349D"/>
    <w:rsid w:val="005944DE"/>
    <w:rsid w:val="005958C7"/>
    <w:rsid w:val="0059736F"/>
    <w:rsid w:val="005A0CB7"/>
    <w:rsid w:val="005A0F3A"/>
    <w:rsid w:val="005A18C5"/>
    <w:rsid w:val="005A32CA"/>
    <w:rsid w:val="005A4956"/>
    <w:rsid w:val="005A4B5C"/>
    <w:rsid w:val="005A6AF5"/>
    <w:rsid w:val="005A7815"/>
    <w:rsid w:val="005B2748"/>
    <w:rsid w:val="005B34CD"/>
    <w:rsid w:val="005B56DC"/>
    <w:rsid w:val="005B7635"/>
    <w:rsid w:val="005C5527"/>
    <w:rsid w:val="005C6960"/>
    <w:rsid w:val="005D02AA"/>
    <w:rsid w:val="005D1106"/>
    <w:rsid w:val="005D231E"/>
    <w:rsid w:val="005D2532"/>
    <w:rsid w:val="005D3A98"/>
    <w:rsid w:val="005D44FA"/>
    <w:rsid w:val="005D4BCD"/>
    <w:rsid w:val="005D70AA"/>
    <w:rsid w:val="005E145E"/>
    <w:rsid w:val="005E3988"/>
    <w:rsid w:val="005E5083"/>
    <w:rsid w:val="005E54AA"/>
    <w:rsid w:val="005E67D8"/>
    <w:rsid w:val="005E6A44"/>
    <w:rsid w:val="005E7441"/>
    <w:rsid w:val="005F051C"/>
    <w:rsid w:val="005F1647"/>
    <w:rsid w:val="005F1BAC"/>
    <w:rsid w:val="005F2CD3"/>
    <w:rsid w:val="005F4770"/>
    <w:rsid w:val="005F5282"/>
    <w:rsid w:val="005F5EBB"/>
    <w:rsid w:val="006017E2"/>
    <w:rsid w:val="00601809"/>
    <w:rsid w:val="00602606"/>
    <w:rsid w:val="00603995"/>
    <w:rsid w:val="00605CFE"/>
    <w:rsid w:val="0060731E"/>
    <w:rsid w:val="006073C3"/>
    <w:rsid w:val="006111F5"/>
    <w:rsid w:val="00612861"/>
    <w:rsid w:val="0062074C"/>
    <w:rsid w:val="0062106E"/>
    <w:rsid w:val="006220AB"/>
    <w:rsid w:val="00622327"/>
    <w:rsid w:val="00626241"/>
    <w:rsid w:val="00626A10"/>
    <w:rsid w:val="00627CB2"/>
    <w:rsid w:val="00631411"/>
    <w:rsid w:val="00632522"/>
    <w:rsid w:val="00633A53"/>
    <w:rsid w:val="006341B7"/>
    <w:rsid w:val="00637421"/>
    <w:rsid w:val="0064283F"/>
    <w:rsid w:val="00643A03"/>
    <w:rsid w:val="00643F7D"/>
    <w:rsid w:val="00644844"/>
    <w:rsid w:val="00644C3F"/>
    <w:rsid w:val="006471AD"/>
    <w:rsid w:val="006552B8"/>
    <w:rsid w:val="0065721C"/>
    <w:rsid w:val="00662300"/>
    <w:rsid w:val="00662918"/>
    <w:rsid w:val="00664269"/>
    <w:rsid w:val="00666A1B"/>
    <w:rsid w:val="00670425"/>
    <w:rsid w:val="00671041"/>
    <w:rsid w:val="00673BA4"/>
    <w:rsid w:val="00674173"/>
    <w:rsid w:val="00677896"/>
    <w:rsid w:val="006833A9"/>
    <w:rsid w:val="006838F2"/>
    <w:rsid w:val="0068568C"/>
    <w:rsid w:val="00686FC2"/>
    <w:rsid w:val="006908A6"/>
    <w:rsid w:val="006910C0"/>
    <w:rsid w:val="00691940"/>
    <w:rsid w:val="00692F6D"/>
    <w:rsid w:val="00693687"/>
    <w:rsid w:val="006938D7"/>
    <w:rsid w:val="00694DB0"/>
    <w:rsid w:val="00696256"/>
    <w:rsid w:val="006976B8"/>
    <w:rsid w:val="00697BEB"/>
    <w:rsid w:val="006A1891"/>
    <w:rsid w:val="006A3F95"/>
    <w:rsid w:val="006A55A5"/>
    <w:rsid w:val="006A6031"/>
    <w:rsid w:val="006A769A"/>
    <w:rsid w:val="006B1542"/>
    <w:rsid w:val="006B15F9"/>
    <w:rsid w:val="006B1AF1"/>
    <w:rsid w:val="006B213D"/>
    <w:rsid w:val="006B24FC"/>
    <w:rsid w:val="006C2AAE"/>
    <w:rsid w:val="006C4C08"/>
    <w:rsid w:val="006C4F87"/>
    <w:rsid w:val="006C5A42"/>
    <w:rsid w:val="006C6020"/>
    <w:rsid w:val="006C74B5"/>
    <w:rsid w:val="006D03BD"/>
    <w:rsid w:val="006D0C2A"/>
    <w:rsid w:val="006D22ED"/>
    <w:rsid w:val="006D26AD"/>
    <w:rsid w:val="006D2CE0"/>
    <w:rsid w:val="006D356B"/>
    <w:rsid w:val="006D381C"/>
    <w:rsid w:val="006D533A"/>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0E1"/>
    <w:rsid w:val="007111E6"/>
    <w:rsid w:val="00712065"/>
    <w:rsid w:val="00712B37"/>
    <w:rsid w:val="00712DC0"/>
    <w:rsid w:val="00716D24"/>
    <w:rsid w:val="00720021"/>
    <w:rsid w:val="00720FB6"/>
    <w:rsid w:val="00723C3E"/>
    <w:rsid w:val="00724786"/>
    <w:rsid w:val="00724AC6"/>
    <w:rsid w:val="007263C8"/>
    <w:rsid w:val="00726C57"/>
    <w:rsid w:val="00726E54"/>
    <w:rsid w:val="00731291"/>
    <w:rsid w:val="007314F3"/>
    <w:rsid w:val="00732456"/>
    <w:rsid w:val="00735D46"/>
    <w:rsid w:val="007364EB"/>
    <w:rsid w:val="00737931"/>
    <w:rsid w:val="007422F8"/>
    <w:rsid w:val="00743209"/>
    <w:rsid w:val="00743668"/>
    <w:rsid w:val="00743B3C"/>
    <w:rsid w:val="0074435B"/>
    <w:rsid w:val="00744713"/>
    <w:rsid w:val="007502D3"/>
    <w:rsid w:val="00751699"/>
    <w:rsid w:val="007526A0"/>
    <w:rsid w:val="00756B05"/>
    <w:rsid w:val="00756EEB"/>
    <w:rsid w:val="0075754A"/>
    <w:rsid w:val="00760654"/>
    <w:rsid w:val="00762A6A"/>
    <w:rsid w:val="00762B24"/>
    <w:rsid w:val="00762D6A"/>
    <w:rsid w:val="00763423"/>
    <w:rsid w:val="00766746"/>
    <w:rsid w:val="00766D0B"/>
    <w:rsid w:val="00770339"/>
    <w:rsid w:val="00770D57"/>
    <w:rsid w:val="00771AD4"/>
    <w:rsid w:val="00772B13"/>
    <w:rsid w:val="00772B79"/>
    <w:rsid w:val="00774624"/>
    <w:rsid w:val="00775173"/>
    <w:rsid w:val="007779BD"/>
    <w:rsid w:val="00781BEE"/>
    <w:rsid w:val="00781CFE"/>
    <w:rsid w:val="00782CC6"/>
    <w:rsid w:val="00785135"/>
    <w:rsid w:val="00786E79"/>
    <w:rsid w:val="007874CC"/>
    <w:rsid w:val="007907A0"/>
    <w:rsid w:val="007907F8"/>
    <w:rsid w:val="00795C7D"/>
    <w:rsid w:val="00795CCB"/>
    <w:rsid w:val="007A1B50"/>
    <w:rsid w:val="007A37E1"/>
    <w:rsid w:val="007A4193"/>
    <w:rsid w:val="007A5695"/>
    <w:rsid w:val="007A7944"/>
    <w:rsid w:val="007B160E"/>
    <w:rsid w:val="007B1BBC"/>
    <w:rsid w:val="007B2C40"/>
    <w:rsid w:val="007B6CC4"/>
    <w:rsid w:val="007C164B"/>
    <w:rsid w:val="007C289A"/>
    <w:rsid w:val="007C44C0"/>
    <w:rsid w:val="007C55BF"/>
    <w:rsid w:val="007C6387"/>
    <w:rsid w:val="007D20F6"/>
    <w:rsid w:val="007D38F4"/>
    <w:rsid w:val="007D41EC"/>
    <w:rsid w:val="007D44A1"/>
    <w:rsid w:val="007D4E68"/>
    <w:rsid w:val="007D5093"/>
    <w:rsid w:val="007E0CA8"/>
    <w:rsid w:val="007E4A63"/>
    <w:rsid w:val="007E593D"/>
    <w:rsid w:val="007E5D68"/>
    <w:rsid w:val="007E63E9"/>
    <w:rsid w:val="007E69F5"/>
    <w:rsid w:val="007E6A63"/>
    <w:rsid w:val="007F01AB"/>
    <w:rsid w:val="007F1B6C"/>
    <w:rsid w:val="00801661"/>
    <w:rsid w:val="008029BE"/>
    <w:rsid w:val="00805C59"/>
    <w:rsid w:val="008110C9"/>
    <w:rsid w:val="0081117C"/>
    <w:rsid w:val="008111B2"/>
    <w:rsid w:val="0081273A"/>
    <w:rsid w:val="008132C6"/>
    <w:rsid w:val="008135AC"/>
    <w:rsid w:val="00813FC2"/>
    <w:rsid w:val="00814BFB"/>
    <w:rsid w:val="00815F57"/>
    <w:rsid w:val="00820A34"/>
    <w:rsid w:val="00821EB1"/>
    <w:rsid w:val="00822C61"/>
    <w:rsid w:val="00823B77"/>
    <w:rsid w:val="00824411"/>
    <w:rsid w:val="008244EB"/>
    <w:rsid w:val="00824F19"/>
    <w:rsid w:val="0082580C"/>
    <w:rsid w:val="0082652A"/>
    <w:rsid w:val="00836D9B"/>
    <w:rsid w:val="008415CA"/>
    <w:rsid w:val="008441C3"/>
    <w:rsid w:val="00844886"/>
    <w:rsid w:val="008456A6"/>
    <w:rsid w:val="00846802"/>
    <w:rsid w:val="00850CC7"/>
    <w:rsid w:val="00851521"/>
    <w:rsid w:val="008529E7"/>
    <w:rsid w:val="00854513"/>
    <w:rsid w:val="00854726"/>
    <w:rsid w:val="008549E4"/>
    <w:rsid w:val="00860349"/>
    <w:rsid w:val="008606EF"/>
    <w:rsid w:val="00860D43"/>
    <w:rsid w:val="0086183C"/>
    <w:rsid w:val="00861CAB"/>
    <w:rsid w:val="0086373C"/>
    <w:rsid w:val="00864B3E"/>
    <w:rsid w:val="00865383"/>
    <w:rsid w:val="00866490"/>
    <w:rsid w:val="00866749"/>
    <w:rsid w:val="00867227"/>
    <w:rsid w:val="00867E47"/>
    <w:rsid w:val="00871057"/>
    <w:rsid w:val="008717B8"/>
    <w:rsid w:val="00871885"/>
    <w:rsid w:val="008815CC"/>
    <w:rsid w:val="00883778"/>
    <w:rsid w:val="00884E08"/>
    <w:rsid w:val="00885B29"/>
    <w:rsid w:val="00886B45"/>
    <w:rsid w:val="00887DB9"/>
    <w:rsid w:val="00891EDA"/>
    <w:rsid w:val="00892688"/>
    <w:rsid w:val="00895123"/>
    <w:rsid w:val="008962EF"/>
    <w:rsid w:val="008976D6"/>
    <w:rsid w:val="008A2A36"/>
    <w:rsid w:val="008A4413"/>
    <w:rsid w:val="008A522E"/>
    <w:rsid w:val="008A52E3"/>
    <w:rsid w:val="008A6E90"/>
    <w:rsid w:val="008B0B10"/>
    <w:rsid w:val="008B0D1E"/>
    <w:rsid w:val="008B1381"/>
    <w:rsid w:val="008B1488"/>
    <w:rsid w:val="008B4A96"/>
    <w:rsid w:val="008B5254"/>
    <w:rsid w:val="008B5D17"/>
    <w:rsid w:val="008C020B"/>
    <w:rsid w:val="008C0FF4"/>
    <w:rsid w:val="008C36B1"/>
    <w:rsid w:val="008C37C3"/>
    <w:rsid w:val="008C5149"/>
    <w:rsid w:val="008C6691"/>
    <w:rsid w:val="008C6892"/>
    <w:rsid w:val="008C7CEC"/>
    <w:rsid w:val="008D01B3"/>
    <w:rsid w:val="008D4BC9"/>
    <w:rsid w:val="008D50D8"/>
    <w:rsid w:val="008D6CF5"/>
    <w:rsid w:val="008E0A38"/>
    <w:rsid w:val="008E0D56"/>
    <w:rsid w:val="008E41AD"/>
    <w:rsid w:val="008E46E6"/>
    <w:rsid w:val="008E50AF"/>
    <w:rsid w:val="008E6AA7"/>
    <w:rsid w:val="008E6B86"/>
    <w:rsid w:val="008E7104"/>
    <w:rsid w:val="008F017B"/>
    <w:rsid w:val="008F033F"/>
    <w:rsid w:val="008F05EF"/>
    <w:rsid w:val="008F0B6B"/>
    <w:rsid w:val="008F377A"/>
    <w:rsid w:val="008F4B60"/>
    <w:rsid w:val="008F656F"/>
    <w:rsid w:val="009036D6"/>
    <w:rsid w:val="00904A94"/>
    <w:rsid w:val="009065D0"/>
    <w:rsid w:val="00906EB9"/>
    <w:rsid w:val="009072F6"/>
    <w:rsid w:val="00907553"/>
    <w:rsid w:val="00911205"/>
    <w:rsid w:val="00912590"/>
    <w:rsid w:val="009126C2"/>
    <w:rsid w:val="009137D8"/>
    <w:rsid w:val="00913F8D"/>
    <w:rsid w:val="0091545C"/>
    <w:rsid w:val="009162CF"/>
    <w:rsid w:val="00920033"/>
    <w:rsid w:val="00922DB8"/>
    <w:rsid w:val="009239CE"/>
    <w:rsid w:val="00924E29"/>
    <w:rsid w:val="00927A5C"/>
    <w:rsid w:val="00934518"/>
    <w:rsid w:val="00936FAE"/>
    <w:rsid w:val="0093760F"/>
    <w:rsid w:val="00940524"/>
    <w:rsid w:val="00941621"/>
    <w:rsid w:val="00941ACF"/>
    <w:rsid w:val="00941B72"/>
    <w:rsid w:val="00945911"/>
    <w:rsid w:val="00946175"/>
    <w:rsid w:val="00946343"/>
    <w:rsid w:val="0094714E"/>
    <w:rsid w:val="00952352"/>
    <w:rsid w:val="00956A08"/>
    <w:rsid w:val="00960B80"/>
    <w:rsid w:val="00961C49"/>
    <w:rsid w:val="00961F39"/>
    <w:rsid w:val="00963B1E"/>
    <w:rsid w:val="0096423F"/>
    <w:rsid w:val="009670E8"/>
    <w:rsid w:val="00967ED0"/>
    <w:rsid w:val="00971276"/>
    <w:rsid w:val="009715C9"/>
    <w:rsid w:val="00971838"/>
    <w:rsid w:val="00972562"/>
    <w:rsid w:val="00973809"/>
    <w:rsid w:val="00974398"/>
    <w:rsid w:val="00974D54"/>
    <w:rsid w:val="00975EF0"/>
    <w:rsid w:val="00980239"/>
    <w:rsid w:val="00981F54"/>
    <w:rsid w:val="00983B88"/>
    <w:rsid w:val="00983FD5"/>
    <w:rsid w:val="009849DD"/>
    <w:rsid w:val="00985BE5"/>
    <w:rsid w:val="009903B7"/>
    <w:rsid w:val="009917C1"/>
    <w:rsid w:val="009922D7"/>
    <w:rsid w:val="00993349"/>
    <w:rsid w:val="009933F1"/>
    <w:rsid w:val="009940AD"/>
    <w:rsid w:val="009968C6"/>
    <w:rsid w:val="00996C49"/>
    <w:rsid w:val="009A3F49"/>
    <w:rsid w:val="009A4134"/>
    <w:rsid w:val="009A5B88"/>
    <w:rsid w:val="009A72DF"/>
    <w:rsid w:val="009B284F"/>
    <w:rsid w:val="009B3A61"/>
    <w:rsid w:val="009B4EE1"/>
    <w:rsid w:val="009B50C6"/>
    <w:rsid w:val="009B5665"/>
    <w:rsid w:val="009B5CEB"/>
    <w:rsid w:val="009B618F"/>
    <w:rsid w:val="009B61E2"/>
    <w:rsid w:val="009B6612"/>
    <w:rsid w:val="009B6B70"/>
    <w:rsid w:val="009C0959"/>
    <w:rsid w:val="009C09B5"/>
    <w:rsid w:val="009C0AAD"/>
    <w:rsid w:val="009C15FC"/>
    <w:rsid w:val="009C18EB"/>
    <w:rsid w:val="009C5116"/>
    <w:rsid w:val="009C5B8C"/>
    <w:rsid w:val="009D0835"/>
    <w:rsid w:val="009D0B86"/>
    <w:rsid w:val="009D3080"/>
    <w:rsid w:val="009D3137"/>
    <w:rsid w:val="009E4198"/>
    <w:rsid w:val="009E4B8E"/>
    <w:rsid w:val="009E5644"/>
    <w:rsid w:val="009E5D44"/>
    <w:rsid w:val="009E5D92"/>
    <w:rsid w:val="009F01ED"/>
    <w:rsid w:val="009F0925"/>
    <w:rsid w:val="009F0D07"/>
    <w:rsid w:val="009F2871"/>
    <w:rsid w:val="009F7765"/>
    <w:rsid w:val="009F7F0B"/>
    <w:rsid w:val="00A01574"/>
    <w:rsid w:val="00A02593"/>
    <w:rsid w:val="00A028A7"/>
    <w:rsid w:val="00A032C4"/>
    <w:rsid w:val="00A06459"/>
    <w:rsid w:val="00A07156"/>
    <w:rsid w:val="00A0729A"/>
    <w:rsid w:val="00A101F2"/>
    <w:rsid w:val="00A11EF7"/>
    <w:rsid w:val="00A128A5"/>
    <w:rsid w:val="00A12CC0"/>
    <w:rsid w:val="00A13CAF"/>
    <w:rsid w:val="00A141A0"/>
    <w:rsid w:val="00A145D5"/>
    <w:rsid w:val="00A20982"/>
    <w:rsid w:val="00A21B4B"/>
    <w:rsid w:val="00A23C5E"/>
    <w:rsid w:val="00A25494"/>
    <w:rsid w:val="00A257D3"/>
    <w:rsid w:val="00A26483"/>
    <w:rsid w:val="00A2795D"/>
    <w:rsid w:val="00A307AD"/>
    <w:rsid w:val="00A33858"/>
    <w:rsid w:val="00A33D06"/>
    <w:rsid w:val="00A33E2D"/>
    <w:rsid w:val="00A35BB7"/>
    <w:rsid w:val="00A360CD"/>
    <w:rsid w:val="00A3685C"/>
    <w:rsid w:val="00A37707"/>
    <w:rsid w:val="00A37B61"/>
    <w:rsid w:val="00A4229C"/>
    <w:rsid w:val="00A4398F"/>
    <w:rsid w:val="00A5159D"/>
    <w:rsid w:val="00A547AA"/>
    <w:rsid w:val="00A54FCC"/>
    <w:rsid w:val="00A55050"/>
    <w:rsid w:val="00A55AC2"/>
    <w:rsid w:val="00A5780C"/>
    <w:rsid w:val="00A57D85"/>
    <w:rsid w:val="00A60FC5"/>
    <w:rsid w:val="00A628A2"/>
    <w:rsid w:val="00A66B99"/>
    <w:rsid w:val="00A66DB3"/>
    <w:rsid w:val="00A70631"/>
    <w:rsid w:val="00A72B14"/>
    <w:rsid w:val="00A73E5C"/>
    <w:rsid w:val="00A74326"/>
    <w:rsid w:val="00A76B8E"/>
    <w:rsid w:val="00A82ECE"/>
    <w:rsid w:val="00A83674"/>
    <w:rsid w:val="00A84462"/>
    <w:rsid w:val="00A8453C"/>
    <w:rsid w:val="00A917CA"/>
    <w:rsid w:val="00A91935"/>
    <w:rsid w:val="00A91F5A"/>
    <w:rsid w:val="00A91FF5"/>
    <w:rsid w:val="00A9448E"/>
    <w:rsid w:val="00A958FF"/>
    <w:rsid w:val="00AA14B4"/>
    <w:rsid w:val="00AA1655"/>
    <w:rsid w:val="00AA6499"/>
    <w:rsid w:val="00AA7145"/>
    <w:rsid w:val="00AB14F3"/>
    <w:rsid w:val="00AB2763"/>
    <w:rsid w:val="00AB384D"/>
    <w:rsid w:val="00AB4A62"/>
    <w:rsid w:val="00AB5899"/>
    <w:rsid w:val="00AB58AC"/>
    <w:rsid w:val="00AC0513"/>
    <w:rsid w:val="00AC2E3D"/>
    <w:rsid w:val="00AC3313"/>
    <w:rsid w:val="00AC34CF"/>
    <w:rsid w:val="00AC481D"/>
    <w:rsid w:val="00AC4D5A"/>
    <w:rsid w:val="00AC50A4"/>
    <w:rsid w:val="00AC654C"/>
    <w:rsid w:val="00AD1F21"/>
    <w:rsid w:val="00AD2352"/>
    <w:rsid w:val="00AD3150"/>
    <w:rsid w:val="00AD3476"/>
    <w:rsid w:val="00AD759D"/>
    <w:rsid w:val="00AD770C"/>
    <w:rsid w:val="00AE275D"/>
    <w:rsid w:val="00AE35AA"/>
    <w:rsid w:val="00AF168B"/>
    <w:rsid w:val="00AF310F"/>
    <w:rsid w:val="00AF3211"/>
    <w:rsid w:val="00AF3EC4"/>
    <w:rsid w:val="00AF49A7"/>
    <w:rsid w:val="00AF5621"/>
    <w:rsid w:val="00AF5839"/>
    <w:rsid w:val="00AF5D0B"/>
    <w:rsid w:val="00AF6416"/>
    <w:rsid w:val="00B00E34"/>
    <w:rsid w:val="00B0120E"/>
    <w:rsid w:val="00B01FD2"/>
    <w:rsid w:val="00B02F5A"/>
    <w:rsid w:val="00B03B76"/>
    <w:rsid w:val="00B0566D"/>
    <w:rsid w:val="00B0576B"/>
    <w:rsid w:val="00B068C8"/>
    <w:rsid w:val="00B10024"/>
    <w:rsid w:val="00B114BE"/>
    <w:rsid w:val="00B11776"/>
    <w:rsid w:val="00B12CDF"/>
    <w:rsid w:val="00B14D67"/>
    <w:rsid w:val="00B14FBD"/>
    <w:rsid w:val="00B151E5"/>
    <w:rsid w:val="00B1697C"/>
    <w:rsid w:val="00B17CAB"/>
    <w:rsid w:val="00B22E2F"/>
    <w:rsid w:val="00B231FA"/>
    <w:rsid w:val="00B23D5A"/>
    <w:rsid w:val="00B30FB7"/>
    <w:rsid w:val="00B32CE8"/>
    <w:rsid w:val="00B340E4"/>
    <w:rsid w:val="00B36B5B"/>
    <w:rsid w:val="00B40D4B"/>
    <w:rsid w:val="00B40FAE"/>
    <w:rsid w:val="00B417EA"/>
    <w:rsid w:val="00B42513"/>
    <w:rsid w:val="00B42B93"/>
    <w:rsid w:val="00B43967"/>
    <w:rsid w:val="00B45D52"/>
    <w:rsid w:val="00B45EEA"/>
    <w:rsid w:val="00B45FCC"/>
    <w:rsid w:val="00B46719"/>
    <w:rsid w:val="00B46BC7"/>
    <w:rsid w:val="00B47029"/>
    <w:rsid w:val="00B5063B"/>
    <w:rsid w:val="00B51050"/>
    <w:rsid w:val="00B5146E"/>
    <w:rsid w:val="00B51EE9"/>
    <w:rsid w:val="00B545C6"/>
    <w:rsid w:val="00B5468C"/>
    <w:rsid w:val="00B57260"/>
    <w:rsid w:val="00B60948"/>
    <w:rsid w:val="00B60B7D"/>
    <w:rsid w:val="00B62462"/>
    <w:rsid w:val="00B6248E"/>
    <w:rsid w:val="00B638A6"/>
    <w:rsid w:val="00B63EA4"/>
    <w:rsid w:val="00B64A66"/>
    <w:rsid w:val="00B6567E"/>
    <w:rsid w:val="00B659B1"/>
    <w:rsid w:val="00B7168F"/>
    <w:rsid w:val="00B718CC"/>
    <w:rsid w:val="00B774E9"/>
    <w:rsid w:val="00B776C3"/>
    <w:rsid w:val="00B818E7"/>
    <w:rsid w:val="00B82F3A"/>
    <w:rsid w:val="00B839F0"/>
    <w:rsid w:val="00B860C3"/>
    <w:rsid w:val="00B92850"/>
    <w:rsid w:val="00B9412A"/>
    <w:rsid w:val="00B96242"/>
    <w:rsid w:val="00BA03D2"/>
    <w:rsid w:val="00BA4A1F"/>
    <w:rsid w:val="00BA510E"/>
    <w:rsid w:val="00BA5BD4"/>
    <w:rsid w:val="00BB0335"/>
    <w:rsid w:val="00BB3CD1"/>
    <w:rsid w:val="00BB3EC7"/>
    <w:rsid w:val="00BB443F"/>
    <w:rsid w:val="00BB5E3F"/>
    <w:rsid w:val="00BB6445"/>
    <w:rsid w:val="00BB69A7"/>
    <w:rsid w:val="00BB6EE0"/>
    <w:rsid w:val="00BB72F5"/>
    <w:rsid w:val="00BB7DB2"/>
    <w:rsid w:val="00BC274E"/>
    <w:rsid w:val="00BC2C8D"/>
    <w:rsid w:val="00BC3769"/>
    <w:rsid w:val="00BC43A5"/>
    <w:rsid w:val="00BC70D6"/>
    <w:rsid w:val="00BC71FA"/>
    <w:rsid w:val="00BD373F"/>
    <w:rsid w:val="00BD4BD3"/>
    <w:rsid w:val="00BD4D1E"/>
    <w:rsid w:val="00BD6670"/>
    <w:rsid w:val="00BD7E0A"/>
    <w:rsid w:val="00BE10CE"/>
    <w:rsid w:val="00BE3D63"/>
    <w:rsid w:val="00BF0077"/>
    <w:rsid w:val="00BF1CFD"/>
    <w:rsid w:val="00BF24E3"/>
    <w:rsid w:val="00BF3717"/>
    <w:rsid w:val="00BF3A06"/>
    <w:rsid w:val="00BF4C8D"/>
    <w:rsid w:val="00BF6143"/>
    <w:rsid w:val="00BF65BC"/>
    <w:rsid w:val="00BF6A0A"/>
    <w:rsid w:val="00BF75BD"/>
    <w:rsid w:val="00BF779B"/>
    <w:rsid w:val="00C00997"/>
    <w:rsid w:val="00C01445"/>
    <w:rsid w:val="00C019B0"/>
    <w:rsid w:val="00C01A30"/>
    <w:rsid w:val="00C02529"/>
    <w:rsid w:val="00C0325E"/>
    <w:rsid w:val="00C03A15"/>
    <w:rsid w:val="00C04242"/>
    <w:rsid w:val="00C04A3B"/>
    <w:rsid w:val="00C04D3F"/>
    <w:rsid w:val="00C04FA9"/>
    <w:rsid w:val="00C05199"/>
    <w:rsid w:val="00C05216"/>
    <w:rsid w:val="00C0672B"/>
    <w:rsid w:val="00C06DA6"/>
    <w:rsid w:val="00C072C3"/>
    <w:rsid w:val="00C118CA"/>
    <w:rsid w:val="00C1382E"/>
    <w:rsid w:val="00C16205"/>
    <w:rsid w:val="00C21040"/>
    <w:rsid w:val="00C22189"/>
    <w:rsid w:val="00C23B3B"/>
    <w:rsid w:val="00C25742"/>
    <w:rsid w:val="00C269E2"/>
    <w:rsid w:val="00C26E7C"/>
    <w:rsid w:val="00C3046E"/>
    <w:rsid w:val="00C31D1C"/>
    <w:rsid w:val="00C32FFE"/>
    <w:rsid w:val="00C36FA4"/>
    <w:rsid w:val="00C42108"/>
    <w:rsid w:val="00C43E02"/>
    <w:rsid w:val="00C45561"/>
    <w:rsid w:val="00C45A49"/>
    <w:rsid w:val="00C479D8"/>
    <w:rsid w:val="00C5050C"/>
    <w:rsid w:val="00C5204E"/>
    <w:rsid w:val="00C520B7"/>
    <w:rsid w:val="00C5225B"/>
    <w:rsid w:val="00C52F90"/>
    <w:rsid w:val="00C5394A"/>
    <w:rsid w:val="00C54FA9"/>
    <w:rsid w:val="00C5627D"/>
    <w:rsid w:val="00C563EC"/>
    <w:rsid w:val="00C60C5D"/>
    <w:rsid w:val="00C60D01"/>
    <w:rsid w:val="00C60F2B"/>
    <w:rsid w:val="00C616AA"/>
    <w:rsid w:val="00C623BE"/>
    <w:rsid w:val="00C643B1"/>
    <w:rsid w:val="00C67F67"/>
    <w:rsid w:val="00C71974"/>
    <w:rsid w:val="00C71FF8"/>
    <w:rsid w:val="00C8011B"/>
    <w:rsid w:val="00C81C2D"/>
    <w:rsid w:val="00C82323"/>
    <w:rsid w:val="00C83BE9"/>
    <w:rsid w:val="00C86AA8"/>
    <w:rsid w:val="00C86E2A"/>
    <w:rsid w:val="00C87FF3"/>
    <w:rsid w:val="00C90854"/>
    <w:rsid w:val="00C90A6B"/>
    <w:rsid w:val="00C90C8F"/>
    <w:rsid w:val="00C91785"/>
    <w:rsid w:val="00C932A9"/>
    <w:rsid w:val="00C93FC6"/>
    <w:rsid w:val="00C97B1F"/>
    <w:rsid w:val="00CA0EBD"/>
    <w:rsid w:val="00CA2D61"/>
    <w:rsid w:val="00CA2D67"/>
    <w:rsid w:val="00CA3901"/>
    <w:rsid w:val="00CA3F69"/>
    <w:rsid w:val="00CA61EA"/>
    <w:rsid w:val="00CB162A"/>
    <w:rsid w:val="00CB19DC"/>
    <w:rsid w:val="00CB1C33"/>
    <w:rsid w:val="00CB2E6A"/>
    <w:rsid w:val="00CB439E"/>
    <w:rsid w:val="00CB62DB"/>
    <w:rsid w:val="00CB6B81"/>
    <w:rsid w:val="00CB79E6"/>
    <w:rsid w:val="00CB7DFD"/>
    <w:rsid w:val="00CC0157"/>
    <w:rsid w:val="00CC0882"/>
    <w:rsid w:val="00CC1AFC"/>
    <w:rsid w:val="00CC306E"/>
    <w:rsid w:val="00CC496E"/>
    <w:rsid w:val="00CC4BD7"/>
    <w:rsid w:val="00CC503A"/>
    <w:rsid w:val="00CC5701"/>
    <w:rsid w:val="00CC5A82"/>
    <w:rsid w:val="00CC7862"/>
    <w:rsid w:val="00CD1114"/>
    <w:rsid w:val="00CD5E97"/>
    <w:rsid w:val="00CD6A41"/>
    <w:rsid w:val="00CD6E7F"/>
    <w:rsid w:val="00CD7184"/>
    <w:rsid w:val="00CE0049"/>
    <w:rsid w:val="00CE0AC7"/>
    <w:rsid w:val="00CE0F23"/>
    <w:rsid w:val="00CE1179"/>
    <w:rsid w:val="00CE141F"/>
    <w:rsid w:val="00CE6E5B"/>
    <w:rsid w:val="00CF1C6C"/>
    <w:rsid w:val="00CF3C06"/>
    <w:rsid w:val="00CF5CE9"/>
    <w:rsid w:val="00CF630C"/>
    <w:rsid w:val="00D01745"/>
    <w:rsid w:val="00D02808"/>
    <w:rsid w:val="00D05BCE"/>
    <w:rsid w:val="00D10705"/>
    <w:rsid w:val="00D14747"/>
    <w:rsid w:val="00D15388"/>
    <w:rsid w:val="00D17D48"/>
    <w:rsid w:val="00D20E67"/>
    <w:rsid w:val="00D216C5"/>
    <w:rsid w:val="00D21799"/>
    <w:rsid w:val="00D224A1"/>
    <w:rsid w:val="00D2442E"/>
    <w:rsid w:val="00D2479B"/>
    <w:rsid w:val="00D2589F"/>
    <w:rsid w:val="00D308BF"/>
    <w:rsid w:val="00D312EE"/>
    <w:rsid w:val="00D328CE"/>
    <w:rsid w:val="00D33A5A"/>
    <w:rsid w:val="00D34209"/>
    <w:rsid w:val="00D36799"/>
    <w:rsid w:val="00D37C2C"/>
    <w:rsid w:val="00D4255F"/>
    <w:rsid w:val="00D50ACF"/>
    <w:rsid w:val="00D519D3"/>
    <w:rsid w:val="00D53242"/>
    <w:rsid w:val="00D54A4B"/>
    <w:rsid w:val="00D567B6"/>
    <w:rsid w:val="00D57C60"/>
    <w:rsid w:val="00D632DC"/>
    <w:rsid w:val="00D63B36"/>
    <w:rsid w:val="00D6423D"/>
    <w:rsid w:val="00D64CE4"/>
    <w:rsid w:val="00D65093"/>
    <w:rsid w:val="00D65870"/>
    <w:rsid w:val="00D67FF9"/>
    <w:rsid w:val="00D70B40"/>
    <w:rsid w:val="00D715A3"/>
    <w:rsid w:val="00D719D4"/>
    <w:rsid w:val="00D71C3D"/>
    <w:rsid w:val="00D72706"/>
    <w:rsid w:val="00D73566"/>
    <w:rsid w:val="00D767B0"/>
    <w:rsid w:val="00D800B9"/>
    <w:rsid w:val="00D80AE2"/>
    <w:rsid w:val="00D83613"/>
    <w:rsid w:val="00D861C8"/>
    <w:rsid w:val="00D90E71"/>
    <w:rsid w:val="00DA0557"/>
    <w:rsid w:val="00DA3E24"/>
    <w:rsid w:val="00DA740B"/>
    <w:rsid w:val="00DB2F2B"/>
    <w:rsid w:val="00DB34A2"/>
    <w:rsid w:val="00DC3D50"/>
    <w:rsid w:val="00DD0D10"/>
    <w:rsid w:val="00DD1AD2"/>
    <w:rsid w:val="00DD1E0C"/>
    <w:rsid w:val="00DD2B7A"/>
    <w:rsid w:val="00DD6789"/>
    <w:rsid w:val="00DE0D97"/>
    <w:rsid w:val="00DE2206"/>
    <w:rsid w:val="00DE277E"/>
    <w:rsid w:val="00DE3080"/>
    <w:rsid w:val="00DE702B"/>
    <w:rsid w:val="00DF0811"/>
    <w:rsid w:val="00DF08B6"/>
    <w:rsid w:val="00DF1736"/>
    <w:rsid w:val="00DF24C8"/>
    <w:rsid w:val="00DF297C"/>
    <w:rsid w:val="00DF59EA"/>
    <w:rsid w:val="00DF59FE"/>
    <w:rsid w:val="00DF7763"/>
    <w:rsid w:val="00E006B3"/>
    <w:rsid w:val="00E012A4"/>
    <w:rsid w:val="00E01EDD"/>
    <w:rsid w:val="00E03983"/>
    <w:rsid w:val="00E05566"/>
    <w:rsid w:val="00E0568D"/>
    <w:rsid w:val="00E06B90"/>
    <w:rsid w:val="00E070ED"/>
    <w:rsid w:val="00E16447"/>
    <w:rsid w:val="00E17E1E"/>
    <w:rsid w:val="00E20DE5"/>
    <w:rsid w:val="00E2663F"/>
    <w:rsid w:val="00E27217"/>
    <w:rsid w:val="00E27360"/>
    <w:rsid w:val="00E31EDF"/>
    <w:rsid w:val="00E324B3"/>
    <w:rsid w:val="00E330CA"/>
    <w:rsid w:val="00E334B8"/>
    <w:rsid w:val="00E34331"/>
    <w:rsid w:val="00E3639C"/>
    <w:rsid w:val="00E37367"/>
    <w:rsid w:val="00E40359"/>
    <w:rsid w:val="00E4261F"/>
    <w:rsid w:val="00E4607D"/>
    <w:rsid w:val="00E47133"/>
    <w:rsid w:val="00E50514"/>
    <w:rsid w:val="00E50550"/>
    <w:rsid w:val="00E51724"/>
    <w:rsid w:val="00E56586"/>
    <w:rsid w:val="00E57741"/>
    <w:rsid w:val="00E6080B"/>
    <w:rsid w:val="00E63E43"/>
    <w:rsid w:val="00E6487C"/>
    <w:rsid w:val="00E65BEC"/>
    <w:rsid w:val="00E729AE"/>
    <w:rsid w:val="00E73A28"/>
    <w:rsid w:val="00E73E8A"/>
    <w:rsid w:val="00E744AE"/>
    <w:rsid w:val="00E766B5"/>
    <w:rsid w:val="00E76864"/>
    <w:rsid w:val="00E81B63"/>
    <w:rsid w:val="00E81D29"/>
    <w:rsid w:val="00E85B7B"/>
    <w:rsid w:val="00E90B4A"/>
    <w:rsid w:val="00E9139C"/>
    <w:rsid w:val="00E91DDD"/>
    <w:rsid w:val="00E92D39"/>
    <w:rsid w:val="00E95BF5"/>
    <w:rsid w:val="00E968A0"/>
    <w:rsid w:val="00E975AE"/>
    <w:rsid w:val="00EA1333"/>
    <w:rsid w:val="00EA1CE6"/>
    <w:rsid w:val="00EA4208"/>
    <w:rsid w:val="00EA475A"/>
    <w:rsid w:val="00EA50A4"/>
    <w:rsid w:val="00EA59A4"/>
    <w:rsid w:val="00EA70BA"/>
    <w:rsid w:val="00EB0D77"/>
    <w:rsid w:val="00EB39EF"/>
    <w:rsid w:val="00EB4EB8"/>
    <w:rsid w:val="00EB5AF0"/>
    <w:rsid w:val="00EB7176"/>
    <w:rsid w:val="00EC17CA"/>
    <w:rsid w:val="00EC2FE2"/>
    <w:rsid w:val="00EC411A"/>
    <w:rsid w:val="00EC6203"/>
    <w:rsid w:val="00EC682F"/>
    <w:rsid w:val="00EC787E"/>
    <w:rsid w:val="00ED0774"/>
    <w:rsid w:val="00ED0D70"/>
    <w:rsid w:val="00ED1337"/>
    <w:rsid w:val="00ED2B37"/>
    <w:rsid w:val="00ED3DFE"/>
    <w:rsid w:val="00ED4236"/>
    <w:rsid w:val="00ED6AEE"/>
    <w:rsid w:val="00ED6B22"/>
    <w:rsid w:val="00ED7103"/>
    <w:rsid w:val="00ED766E"/>
    <w:rsid w:val="00ED7744"/>
    <w:rsid w:val="00ED785C"/>
    <w:rsid w:val="00EE664C"/>
    <w:rsid w:val="00EE70D6"/>
    <w:rsid w:val="00EE7432"/>
    <w:rsid w:val="00EE7ACC"/>
    <w:rsid w:val="00EF09D7"/>
    <w:rsid w:val="00EF0F22"/>
    <w:rsid w:val="00EF1658"/>
    <w:rsid w:val="00EF2357"/>
    <w:rsid w:val="00EF2B64"/>
    <w:rsid w:val="00EF47ED"/>
    <w:rsid w:val="00EF4D8F"/>
    <w:rsid w:val="00EF60E6"/>
    <w:rsid w:val="00F024A7"/>
    <w:rsid w:val="00F033E3"/>
    <w:rsid w:val="00F04305"/>
    <w:rsid w:val="00F04D5F"/>
    <w:rsid w:val="00F04E47"/>
    <w:rsid w:val="00F05284"/>
    <w:rsid w:val="00F07241"/>
    <w:rsid w:val="00F114C2"/>
    <w:rsid w:val="00F117EF"/>
    <w:rsid w:val="00F11E7C"/>
    <w:rsid w:val="00F13AA3"/>
    <w:rsid w:val="00F1750F"/>
    <w:rsid w:val="00F2073A"/>
    <w:rsid w:val="00F2142D"/>
    <w:rsid w:val="00F21E33"/>
    <w:rsid w:val="00F22DF9"/>
    <w:rsid w:val="00F24C05"/>
    <w:rsid w:val="00F25AB1"/>
    <w:rsid w:val="00F26987"/>
    <w:rsid w:val="00F30012"/>
    <w:rsid w:val="00F31BCB"/>
    <w:rsid w:val="00F36656"/>
    <w:rsid w:val="00F409E3"/>
    <w:rsid w:val="00F435D8"/>
    <w:rsid w:val="00F474E1"/>
    <w:rsid w:val="00F50400"/>
    <w:rsid w:val="00F541E0"/>
    <w:rsid w:val="00F55C2D"/>
    <w:rsid w:val="00F60FBF"/>
    <w:rsid w:val="00F612AA"/>
    <w:rsid w:val="00F64615"/>
    <w:rsid w:val="00F66A53"/>
    <w:rsid w:val="00F7042A"/>
    <w:rsid w:val="00F709AC"/>
    <w:rsid w:val="00F7198D"/>
    <w:rsid w:val="00F71CD6"/>
    <w:rsid w:val="00F763ED"/>
    <w:rsid w:val="00F76875"/>
    <w:rsid w:val="00F77002"/>
    <w:rsid w:val="00F820C8"/>
    <w:rsid w:val="00F8256F"/>
    <w:rsid w:val="00F832B7"/>
    <w:rsid w:val="00F83C96"/>
    <w:rsid w:val="00F84598"/>
    <w:rsid w:val="00F85FFC"/>
    <w:rsid w:val="00F921C6"/>
    <w:rsid w:val="00F93502"/>
    <w:rsid w:val="00F97467"/>
    <w:rsid w:val="00FA008D"/>
    <w:rsid w:val="00FA2BBD"/>
    <w:rsid w:val="00FA33D8"/>
    <w:rsid w:val="00FA3704"/>
    <w:rsid w:val="00FA76B8"/>
    <w:rsid w:val="00FB08F7"/>
    <w:rsid w:val="00FB0978"/>
    <w:rsid w:val="00FB1C60"/>
    <w:rsid w:val="00FB1EC3"/>
    <w:rsid w:val="00FB3FE9"/>
    <w:rsid w:val="00FB6276"/>
    <w:rsid w:val="00FC26C7"/>
    <w:rsid w:val="00FC3C77"/>
    <w:rsid w:val="00FC428D"/>
    <w:rsid w:val="00FC50BA"/>
    <w:rsid w:val="00FC59A0"/>
    <w:rsid w:val="00FC628B"/>
    <w:rsid w:val="00FC64A8"/>
    <w:rsid w:val="00FC7402"/>
    <w:rsid w:val="00FC74ED"/>
    <w:rsid w:val="00FD03B8"/>
    <w:rsid w:val="00FD1399"/>
    <w:rsid w:val="00FD7353"/>
    <w:rsid w:val="00FD7B48"/>
    <w:rsid w:val="00FE0D85"/>
    <w:rsid w:val="00FE24C8"/>
    <w:rsid w:val="00FE2A2D"/>
    <w:rsid w:val="00FF2B4B"/>
    <w:rsid w:val="00FF4148"/>
    <w:rsid w:val="00FF4EB9"/>
    <w:rsid w:val="00FF5CD9"/>
    <w:rsid w:val="00FF5DE7"/>
    <w:rsid w:val="00FF713E"/>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E58AFC"/>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paragraph" w:styleId="Nincstrkz">
    <w:name w:val="No Spacing"/>
    <w:uiPriority w:val="1"/>
    <w:qFormat/>
    <w:rsid w:val="00035D9E"/>
    <w:rPr>
      <w:rFonts w:asciiTheme="minorHAnsi" w:eastAsiaTheme="minorHAnsi" w:hAnsiTheme="minorHAnsi" w:cstheme="minorBidi"/>
      <w:sz w:val="22"/>
      <w:szCs w:val="22"/>
      <w:lang w:eastAsia="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035D9E"/>
    <w:rPr>
      <w:sz w:val="22"/>
      <w:szCs w:val="22"/>
      <w:lang w:eastAsia="en-US"/>
    </w:rPr>
  </w:style>
  <w:style w:type="character" w:customStyle="1" w:styleId="markedcontent">
    <w:name w:val="markedcontent"/>
    <w:basedOn w:val="Bekezdsalapbettpusa"/>
    <w:rsid w:val="00C05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73301877">
      <w:bodyDiv w:val="1"/>
      <w:marLeft w:val="0"/>
      <w:marRight w:val="0"/>
      <w:marTop w:val="0"/>
      <w:marBottom w:val="0"/>
      <w:divBdr>
        <w:top w:val="none" w:sz="0" w:space="0" w:color="auto"/>
        <w:left w:val="none" w:sz="0" w:space="0" w:color="auto"/>
        <w:bottom w:val="none" w:sz="0" w:space="0" w:color="auto"/>
        <w:right w:val="none" w:sz="0" w:space="0" w:color="auto"/>
      </w:divBdr>
    </w:div>
    <w:div w:id="191961394">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225337789">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43017907">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366415674">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13887163">
      <w:bodyDiv w:val="1"/>
      <w:marLeft w:val="0"/>
      <w:marRight w:val="0"/>
      <w:marTop w:val="0"/>
      <w:marBottom w:val="0"/>
      <w:divBdr>
        <w:top w:val="none" w:sz="0" w:space="0" w:color="auto"/>
        <w:left w:val="none" w:sz="0" w:space="0" w:color="auto"/>
        <w:bottom w:val="none" w:sz="0" w:space="0" w:color="auto"/>
        <w:right w:val="none" w:sz="0" w:space="0" w:color="auto"/>
      </w:divBdr>
    </w:div>
    <w:div w:id="728071269">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92794078">
      <w:bodyDiv w:val="1"/>
      <w:marLeft w:val="0"/>
      <w:marRight w:val="0"/>
      <w:marTop w:val="0"/>
      <w:marBottom w:val="0"/>
      <w:divBdr>
        <w:top w:val="none" w:sz="0" w:space="0" w:color="auto"/>
        <w:left w:val="none" w:sz="0" w:space="0" w:color="auto"/>
        <w:bottom w:val="none" w:sz="0" w:space="0" w:color="auto"/>
        <w:right w:val="none" w:sz="0" w:space="0" w:color="auto"/>
      </w:divBdr>
    </w:div>
    <w:div w:id="900214776">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04630769">
      <w:bodyDiv w:val="1"/>
      <w:marLeft w:val="0"/>
      <w:marRight w:val="0"/>
      <w:marTop w:val="0"/>
      <w:marBottom w:val="0"/>
      <w:divBdr>
        <w:top w:val="none" w:sz="0" w:space="0" w:color="auto"/>
        <w:left w:val="none" w:sz="0" w:space="0" w:color="auto"/>
        <w:bottom w:val="none" w:sz="0" w:space="0" w:color="auto"/>
        <w:right w:val="none" w:sz="0" w:space="0" w:color="auto"/>
      </w:divBdr>
    </w:div>
    <w:div w:id="1010764258">
      <w:bodyDiv w:val="1"/>
      <w:marLeft w:val="0"/>
      <w:marRight w:val="0"/>
      <w:marTop w:val="0"/>
      <w:marBottom w:val="0"/>
      <w:divBdr>
        <w:top w:val="none" w:sz="0" w:space="0" w:color="auto"/>
        <w:left w:val="none" w:sz="0" w:space="0" w:color="auto"/>
        <w:bottom w:val="none" w:sz="0" w:space="0" w:color="auto"/>
        <w:right w:val="none" w:sz="0" w:space="0" w:color="auto"/>
      </w:divBdr>
    </w:div>
    <w:div w:id="1079791065">
      <w:bodyDiv w:val="1"/>
      <w:marLeft w:val="0"/>
      <w:marRight w:val="0"/>
      <w:marTop w:val="0"/>
      <w:marBottom w:val="0"/>
      <w:divBdr>
        <w:top w:val="none" w:sz="0" w:space="0" w:color="auto"/>
        <w:left w:val="none" w:sz="0" w:space="0" w:color="auto"/>
        <w:bottom w:val="none" w:sz="0" w:space="0" w:color="auto"/>
        <w:right w:val="none" w:sz="0" w:space="0" w:color="auto"/>
      </w:divBdr>
    </w:div>
    <w:div w:id="1122724843">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59237158">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409184186">
      <w:bodyDiv w:val="1"/>
      <w:marLeft w:val="0"/>
      <w:marRight w:val="0"/>
      <w:marTop w:val="0"/>
      <w:marBottom w:val="0"/>
      <w:divBdr>
        <w:top w:val="none" w:sz="0" w:space="0" w:color="auto"/>
        <w:left w:val="none" w:sz="0" w:space="0" w:color="auto"/>
        <w:bottom w:val="none" w:sz="0" w:space="0" w:color="auto"/>
        <w:right w:val="none" w:sz="0" w:space="0" w:color="auto"/>
      </w:divBdr>
      <w:divsChild>
        <w:div w:id="299569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4083871">
      <w:bodyDiv w:val="1"/>
      <w:marLeft w:val="0"/>
      <w:marRight w:val="0"/>
      <w:marTop w:val="0"/>
      <w:marBottom w:val="0"/>
      <w:divBdr>
        <w:top w:val="none" w:sz="0" w:space="0" w:color="auto"/>
        <w:left w:val="none" w:sz="0" w:space="0" w:color="auto"/>
        <w:bottom w:val="none" w:sz="0" w:space="0" w:color="auto"/>
        <w:right w:val="none" w:sz="0" w:space="0" w:color="auto"/>
      </w:divBdr>
    </w:div>
    <w:div w:id="1441072130">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753769251">
      <w:bodyDiv w:val="1"/>
      <w:marLeft w:val="0"/>
      <w:marRight w:val="0"/>
      <w:marTop w:val="0"/>
      <w:marBottom w:val="0"/>
      <w:divBdr>
        <w:top w:val="none" w:sz="0" w:space="0" w:color="auto"/>
        <w:left w:val="none" w:sz="0" w:space="0" w:color="auto"/>
        <w:bottom w:val="none" w:sz="0" w:space="0" w:color="auto"/>
        <w:right w:val="none" w:sz="0" w:space="0" w:color="auto"/>
      </w:divBdr>
    </w:div>
    <w:div w:id="1879706782">
      <w:bodyDiv w:val="1"/>
      <w:marLeft w:val="0"/>
      <w:marRight w:val="0"/>
      <w:marTop w:val="0"/>
      <w:marBottom w:val="0"/>
      <w:divBdr>
        <w:top w:val="none" w:sz="0" w:space="0" w:color="auto"/>
        <w:left w:val="none" w:sz="0" w:space="0" w:color="auto"/>
        <w:bottom w:val="none" w:sz="0" w:space="0" w:color="auto"/>
        <w:right w:val="none" w:sz="0" w:space="0" w:color="auto"/>
      </w:divBdr>
    </w:div>
    <w:div w:id="1884322657">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40983596">
      <w:bodyDiv w:val="1"/>
      <w:marLeft w:val="0"/>
      <w:marRight w:val="0"/>
      <w:marTop w:val="0"/>
      <w:marBottom w:val="0"/>
      <w:divBdr>
        <w:top w:val="none" w:sz="0" w:space="0" w:color="auto"/>
        <w:left w:val="none" w:sz="0" w:space="0" w:color="auto"/>
        <w:bottom w:val="none" w:sz="0" w:space="0" w:color="auto"/>
        <w:right w:val="none" w:sz="0" w:space="0" w:color="auto"/>
      </w:divBdr>
    </w:div>
    <w:div w:id="1943609554">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Helyi adóbevételek aránya adónemenként</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5561-481D-8C06-316291043B6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5561-481D-8C06-316291043B62}"/>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5561-481D-8C06-316291043B62}"/>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5561-481D-8C06-316291043B62}"/>
              </c:ext>
            </c:extLst>
          </c:dPt>
          <c:cat>
            <c:strRef>
              <c:f>Munka1!$A$2:$A$5</c:f>
              <c:strCache>
                <c:ptCount val="4"/>
                <c:pt idx="0">
                  <c:v>Építményadó</c:v>
                </c:pt>
                <c:pt idx="1">
                  <c:v>Idegenforgalmi adó</c:v>
                </c:pt>
                <c:pt idx="2">
                  <c:v>Iparűzési adó</c:v>
                </c:pt>
                <c:pt idx="3">
                  <c:v> </c:v>
                </c:pt>
              </c:strCache>
            </c:strRef>
          </c:cat>
          <c:val>
            <c:numRef>
              <c:f>Munka1!$B$2:$B$5</c:f>
              <c:numCache>
                <c:formatCode>0%</c:formatCode>
                <c:ptCount val="4"/>
                <c:pt idx="0">
                  <c:v>0.39</c:v>
                </c:pt>
                <c:pt idx="1">
                  <c:v>0.56000000000000005</c:v>
                </c:pt>
                <c:pt idx="2">
                  <c:v>0.45</c:v>
                </c:pt>
                <c:pt idx="3" formatCode="General">
                  <c:v>0</c:v>
                </c:pt>
              </c:numCache>
            </c:numRef>
          </c:val>
          <c:extLst>
            <c:ext xmlns:c16="http://schemas.microsoft.com/office/drawing/2014/chart" uri="{C3380CC4-5D6E-409C-BE32-E72D297353CC}">
              <c16:uniqueId val="{00000008-5561-481D-8C06-316291043B62}"/>
            </c:ext>
          </c:extLst>
        </c:ser>
        <c:dLbls>
          <c:showLegendKey val="0"/>
          <c:showVal val="0"/>
          <c:showCatName val="0"/>
          <c:showSerName val="0"/>
          <c:showPercent val="0"/>
          <c:showBubbleSize val="0"/>
          <c:showLeaderLines val="1"/>
        </c:dLbls>
      </c:pie3D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Iparűzési</a:t>
            </a:r>
            <a:r>
              <a:rPr lang="hu-HU" baseline="0"/>
              <a:t> adót fizető egyéni vállalkozások megoszlása </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Munka2!$A$2</c:f>
              <c:strCache>
                <c:ptCount val="1"/>
                <c:pt idx="0">
                  <c:v>egyéni vállalkozás</c:v>
                </c:pt>
              </c:strCache>
            </c:strRef>
          </c:tx>
          <c:spPr>
            <a:solidFill>
              <a:schemeClr val="accent1"/>
            </a:solidFill>
            <a:ln>
              <a:noFill/>
            </a:ln>
            <a:effectLst/>
          </c:spPr>
          <c:invertIfNegative val="0"/>
          <c:cat>
            <c:strRef>
              <c:f>Munka2!$B$1:$C$1</c:f>
              <c:strCache>
                <c:ptCount val="2"/>
                <c:pt idx="0">
                  <c:v>2021. év</c:v>
                </c:pt>
                <c:pt idx="1">
                  <c:v>2020. év</c:v>
                </c:pt>
              </c:strCache>
            </c:strRef>
          </c:cat>
          <c:val>
            <c:numRef>
              <c:f>Munka2!$B$2:$C$2</c:f>
              <c:numCache>
                <c:formatCode>General</c:formatCode>
                <c:ptCount val="2"/>
                <c:pt idx="0">
                  <c:v>939</c:v>
                </c:pt>
                <c:pt idx="1">
                  <c:v>851</c:v>
                </c:pt>
              </c:numCache>
            </c:numRef>
          </c:val>
          <c:extLst>
            <c:ext xmlns:c16="http://schemas.microsoft.com/office/drawing/2014/chart" uri="{C3380CC4-5D6E-409C-BE32-E72D297353CC}">
              <c16:uniqueId val="{00000000-0406-43E3-B1CC-67C96CD54409}"/>
            </c:ext>
          </c:extLst>
        </c:ser>
        <c:ser>
          <c:idx val="1"/>
          <c:order val="1"/>
          <c:tx>
            <c:strRef>
              <c:f>Munka2!$A$3</c:f>
              <c:strCache>
                <c:ptCount val="1"/>
                <c:pt idx="0">
                  <c:v>szüneteltetett</c:v>
                </c:pt>
              </c:strCache>
            </c:strRef>
          </c:tx>
          <c:spPr>
            <a:solidFill>
              <a:schemeClr val="accent2"/>
            </a:solidFill>
            <a:ln>
              <a:noFill/>
            </a:ln>
            <a:effectLst/>
          </c:spPr>
          <c:invertIfNegative val="0"/>
          <c:cat>
            <c:strRef>
              <c:f>Munka2!$B$1:$C$1</c:f>
              <c:strCache>
                <c:ptCount val="2"/>
                <c:pt idx="0">
                  <c:v>2021. év</c:v>
                </c:pt>
                <c:pt idx="1">
                  <c:v>2020. év</c:v>
                </c:pt>
              </c:strCache>
            </c:strRef>
          </c:cat>
          <c:val>
            <c:numRef>
              <c:f>Munka2!$B$3:$C$3</c:f>
              <c:numCache>
                <c:formatCode>General</c:formatCode>
                <c:ptCount val="2"/>
                <c:pt idx="0">
                  <c:v>141</c:v>
                </c:pt>
                <c:pt idx="1">
                  <c:v>166</c:v>
                </c:pt>
              </c:numCache>
            </c:numRef>
          </c:val>
          <c:extLst>
            <c:ext xmlns:c16="http://schemas.microsoft.com/office/drawing/2014/chart" uri="{C3380CC4-5D6E-409C-BE32-E72D297353CC}">
              <c16:uniqueId val="{00000001-0406-43E3-B1CC-67C96CD54409}"/>
            </c:ext>
          </c:extLst>
        </c:ser>
        <c:ser>
          <c:idx val="2"/>
          <c:order val="2"/>
          <c:tx>
            <c:strRef>
              <c:f>Munka2!$A$4</c:f>
              <c:strCache>
                <c:ptCount val="1"/>
                <c:pt idx="0">
                  <c:v>megszűnt</c:v>
                </c:pt>
              </c:strCache>
            </c:strRef>
          </c:tx>
          <c:spPr>
            <a:solidFill>
              <a:schemeClr val="accent3"/>
            </a:solidFill>
            <a:ln>
              <a:noFill/>
            </a:ln>
            <a:effectLst/>
          </c:spPr>
          <c:invertIfNegative val="0"/>
          <c:cat>
            <c:strRef>
              <c:f>Munka2!$B$1:$C$1</c:f>
              <c:strCache>
                <c:ptCount val="2"/>
                <c:pt idx="0">
                  <c:v>2021. év</c:v>
                </c:pt>
                <c:pt idx="1">
                  <c:v>2020. év</c:v>
                </c:pt>
              </c:strCache>
            </c:strRef>
          </c:cat>
          <c:val>
            <c:numRef>
              <c:f>Munka2!$B$4:$C$4</c:f>
              <c:numCache>
                <c:formatCode>General</c:formatCode>
                <c:ptCount val="2"/>
                <c:pt idx="0">
                  <c:v>33</c:v>
                </c:pt>
                <c:pt idx="1">
                  <c:v>30</c:v>
                </c:pt>
              </c:numCache>
            </c:numRef>
          </c:val>
          <c:extLst>
            <c:ext xmlns:c16="http://schemas.microsoft.com/office/drawing/2014/chart" uri="{C3380CC4-5D6E-409C-BE32-E72D297353CC}">
              <c16:uniqueId val="{00000002-0406-43E3-B1CC-67C96CD54409}"/>
            </c:ext>
          </c:extLst>
        </c:ser>
        <c:dLbls>
          <c:showLegendKey val="0"/>
          <c:showVal val="0"/>
          <c:showCatName val="0"/>
          <c:showSerName val="0"/>
          <c:showPercent val="0"/>
          <c:showBubbleSize val="0"/>
        </c:dLbls>
        <c:gapWidth val="182"/>
        <c:axId val="414415624"/>
        <c:axId val="414419560"/>
      </c:barChart>
      <c:catAx>
        <c:axId val="4144156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4419560"/>
        <c:crosses val="autoZero"/>
        <c:auto val="1"/>
        <c:lblAlgn val="ctr"/>
        <c:lblOffset val="100"/>
        <c:noMultiLvlLbl val="0"/>
      </c:catAx>
      <c:valAx>
        <c:axId val="4144195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44156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Ip</a:t>
            </a:r>
            <a:r>
              <a:rPr lang="hu-HU"/>
              <a:t>arűzési</a:t>
            </a:r>
            <a:r>
              <a:rPr lang="hu-HU" baseline="0"/>
              <a:t> adót fizető társas vállalkozások megoszlása</a:t>
            </a:r>
            <a:endParaRPr lang="en-US"/>
          </a:p>
        </c:rich>
      </c:tx>
      <c:layout>
        <c:manualLayout>
          <c:xMode val="edge"/>
          <c:yMode val="edge"/>
          <c:x val="0.14156933508311462"/>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Munka1!$A$2</c:f>
              <c:strCache>
                <c:ptCount val="1"/>
                <c:pt idx="0">
                  <c:v>társas vállalkozás</c:v>
                </c:pt>
              </c:strCache>
            </c:strRef>
          </c:tx>
          <c:spPr>
            <a:solidFill>
              <a:schemeClr val="accent1"/>
            </a:solidFill>
            <a:ln>
              <a:noFill/>
            </a:ln>
            <a:effectLst/>
          </c:spPr>
          <c:invertIfNegative val="0"/>
          <c:cat>
            <c:strRef>
              <c:f>Munka1!$B$1:$C$1</c:f>
              <c:strCache>
                <c:ptCount val="2"/>
                <c:pt idx="0">
                  <c:v>2021. év</c:v>
                </c:pt>
                <c:pt idx="1">
                  <c:v>2020. év</c:v>
                </c:pt>
              </c:strCache>
            </c:strRef>
          </c:cat>
          <c:val>
            <c:numRef>
              <c:f>Munka1!$B$2:$C$2</c:f>
              <c:numCache>
                <c:formatCode>General</c:formatCode>
                <c:ptCount val="2"/>
                <c:pt idx="0">
                  <c:v>1314</c:v>
                </c:pt>
                <c:pt idx="1">
                  <c:v>1287</c:v>
                </c:pt>
              </c:numCache>
            </c:numRef>
          </c:val>
          <c:extLst>
            <c:ext xmlns:c16="http://schemas.microsoft.com/office/drawing/2014/chart" uri="{C3380CC4-5D6E-409C-BE32-E72D297353CC}">
              <c16:uniqueId val="{00000000-35F9-4C0C-92FD-2A9E4DEA93C2}"/>
            </c:ext>
          </c:extLst>
        </c:ser>
        <c:ser>
          <c:idx val="1"/>
          <c:order val="1"/>
          <c:tx>
            <c:strRef>
              <c:f>Munka1!$A$3</c:f>
              <c:strCache>
                <c:ptCount val="1"/>
                <c:pt idx="0">
                  <c:v>felszámolás alatt</c:v>
                </c:pt>
              </c:strCache>
            </c:strRef>
          </c:tx>
          <c:spPr>
            <a:solidFill>
              <a:schemeClr val="accent2"/>
            </a:solidFill>
            <a:ln>
              <a:noFill/>
            </a:ln>
            <a:effectLst/>
          </c:spPr>
          <c:invertIfNegative val="0"/>
          <c:cat>
            <c:strRef>
              <c:f>Munka1!$B$1:$C$1</c:f>
              <c:strCache>
                <c:ptCount val="2"/>
                <c:pt idx="0">
                  <c:v>2021. év</c:v>
                </c:pt>
                <c:pt idx="1">
                  <c:v>2020. év</c:v>
                </c:pt>
              </c:strCache>
            </c:strRef>
          </c:cat>
          <c:val>
            <c:numRef>
              <c:f>Munka1!$B$3:$C$3</c:f>
              <c:numCache>
                <c:formatCode>General</c:formatCode>
                <c:ptCount val="2"/>
                <c:pt idx="0">
                  <c:v>54</c:v>
                </c:pt>
                <c:pt idx="1">
                  <c:v>54</c:v>
                </c:pt>
              </c:numCache>
            </c:numRef>
          </c:val>
          <c:extLst>
            <c:ext xmlns:c16="http://schemas.microsoft.com/office/drawing/2014/chart" uri="{C3380CC4-5D6E-409C-BE32-E72D297353CC}">
              <c16:uniqueId val="{00000001-35F9-4C0C-92FD-2A9E4DEA93C2}"/>
            </c:ext>
          </c:extLst>
        </c:ser>
        <c:ser>
          <c:idx val="2"/>
          <c:order val="2"/>
          <c:tx>
            <c:strRef>
              <c:f>Munka1!$A$4</c:f>
              <c:strCache>
                <c:ptCount val="1"/>
                <c:pt idx="0">
                  <c:v>csődeljárás alatt</c:v>
                </c:pt>
              </c:strCache>
            </c:strRef>
          </c:tx>
          <c:spPr>
            <a:solidFill>
              <a:schemeClr val="accent3"/>
            </a:solidFill>
            <a:ln>
              <a:noFill/>
            </a:ln>
            <a:effectLst/>
          </c:spPr>
          <c:invertIfNegative val="0"/>
          <c:cat>
            <c:strRef>
              <c:f>Munka1!$B$1:$C$1</c:f>
              <c:strCache>
                <c:ptCount val="2"/>
                <c:pt idx="0">
                  <c:v>2021. év</c:v>
                </c:pt>
                <c:pt idx="1">
                  <c:v>2020. év</c:v>
                </c:pt>
              </c:strCache>
            </c:strRef>
          </c:cat>
          <c:val>
            <c:numRef>
              <c:f>Munka1!$B$4:$C$4</c:f>
              <c:numCache>
                <c:formatCode>General</c:formatCode>
                <c:ptCount val="2"/>
                <c:pt idx="0">
                  <c:v>1</c:v>
                </c:pt>
                <c:pt idx="1">
                  <c:v>1</c:v>
                </c:pt>
              </c:numCache>
            </c:numRef>
          </c:val>
          <c:extLst>
            <c:ext xmlns:c16="http://schemas.microsoft.com/office/drawing/2014/chart" uri="{C3380CC4-5D6E-409C-BE32-E72D297353CC}">
              <c16:uniqueId val="{00000002-35F9-4C0C-92FD-2A9E4DEA93C2}"/>
            </c:ext>
          </c:extLst>
        </c:ser>
        <c:ser>
          <c:idx val="3"/>
          <c:order val="3"/>
          <c:tx>
            <c:strRef>
              <c:f>Munka1!$A$5</c:f>
              <c:strCache>
                <c:ptCount val="1"/>
                <c:pt idx="0">
                  <c:v>végelszámolás alatt</c:v>
                </c:pt>
              </c:strCache>
            </c:strRef>
          </c:tx>
          <c:spPr>
            <a:solidFill>
              <a:schemeClr val="accent4"/>
            </a:solidFill>
            <a:ln>
              <a:noFill/>
            </a:ln>
            <a:effectLst/>
          </c:spPr>
          <c:invertIfNegative val="0"/>
          <c:cat>
            <c:strRef>
              <c:f>Munka1!$B$1:$C$1</c:f>
              <c:strCache>
                <c:ptCount val="2"/>
                <c:pt idx="0">
                  <c:v>2021. év</c:v>
                </c:pt>
                <c:pt idx="1">
                  <c:v>2020. év</c:v>
                </c:pt>
              </c:strCache>
            </c:strRef>
          </c:cat>
          <c:val>
            <c:numRef>
              <c:f>Munka1!$B$5:$C$5</c:f>
              <c:numCache>
                <c:formatCode>General</c:formatCode>
                <c:ptCount val="2"/>
                <c:pt idx="0">
                  <c:v>27</c:v>
                </c:pt>
                <c:pt idx="1">
                  <c:v>20</c:v>
                </c:pt>
              </c:numCache>
            </c:numRef>
          </c:val>
          <c:extLst>
            <c:ext xmlns:c16="http://schemas.microsoft.com/office/drawing/2014/chart" uri="{C3380CC4-5D6E-409C-BE32-E72D297353CC}">
              <c16:uniqueId val="{00000003-35F9-4C0C-92FD-2A9E4DEA93C2}"/>
            </c:ext>
          </c:extLst>
        </c:ser>
        <c:ser>
          <c:idx val="4"/>
          <c:order val="4"/>
          <c:tx>
            <c:strRef>
              <c:f>Munka1!$A$6</c:f>
              <c:strCache>
                <c:ptCount val="1"/>
                <c:pt idx="0">
                  <c:v>kényszertörlés alatt</c:v>
                </c:pt>
              </c:strCache>
            </c:strRef>
          </c:tx>
          <c:spPr>
            <a:solidFill>
              <a:schemeClr val="accent5"/>
            </a:solidFill>
            <a:ln>
              <a:noFill/>
            </a:ln>
            <a:effectLst/>
          </c:spPr>
          <c:invertIfNegative val="0"/>
          <c:cat>
            <c:strRef>
              <c:f>Munka1!$B$1:$C$1</c:f>
              <c:strCache>
                <c:ptCount val="2"/>
                <c:pt idx="0">
                  <c:v>2021. év</c:v>
                </c:pt>
                <c:pt idx="1">
                  <c:v>2020. év</c:v>
                </c:pt>
              </c:strCache>
            </c:strRef>
          </c:cat>
          <c:val>
            <c:numRef>
              <c:f>Munka1!$B$6:$C$6</c:f>
              <c:numCache>
                <c:formatCode>General</c:formatCode>
                <c:ptCount val="2"/>
                <c:pt idx="0">
                  <c:v>22</c:v>
                </c:pt>
                <c:pt idx="1">
                  <c:v>16</c:v>
                </c:pt>
              </c:numCache>
            </c:numRef>
          </c:val>
          <c:extLst>
            <c:ext xmlns:c16="http://schemas.microsoft.com/office/drawing/2014/chart" uri="{C3380CC4-5D6E-409C-BE32-E72D297353CC}">
              <c16:uniqueId val="{00000004-35F9-4C0C-92FD-2A9E4DEA93C2}"/>
            </c:ext>
          </c:extLst>
        </c:ser>
        <c:ser>
          <c:idx val="5"/>
          <c:order val="5"/>
          <c:tx>
            <c:strRef>
              <c:f>Munka1!$A$7</c:f>
              <c:strCache>
                <c:ptCount val="1"/>
                <c:pt idx="0">
                  <c:v>megszűnt</c:v>
                </c:pt>
              </c:strCache>
            </c:strRef>
          </c:tx>
          <c:spPr>
            <a:solidFill>
              <a:schemeClr val="accent6"/>
            </a:solidFill>
            <a:ln>
              <a:noFill/>
            </a:ln>
            <a:effectLst/>
          </c:spPr>
          <c:invertIfNegative val="0"/>
          <c:cat>
            <c:strRef>
              <c:f>Munka1!$B$1:$C$1</c:f>
              <c:strCache>
                <c:ptCount val="2"/>
                <c:pt idx="0">
                  <c:v>2021. év</c:v>
                </c:pt>
                <c:pt idx="1">
                  <c:v>2020. év</c:v>
                </c:pt>
              </c:strCache>
            </c:strRef>
          </c:cat>
          <c:val>
            <c:numRef>
              <c:f>Munka1!$B$7:$C$7</c:f>
              <c:numCache>
                <c:formatCode>General</c:formatCode>
                <c:ptCount val="2"/>
                <c:pt idx="0">
                  <c:v>362</c:v>
                </c:pt>
                <c:pt idx="1">
                  <c:v>321</c:v>
                </c:pt>
              </c:numCache>
            </c:numRef>
          </c:val>
          <c:extLst>
            <c:ext xmlns:c16="http://schemas.microsoft.com/office/drawing/2014/chart" uri="{C3380CC4-5D6E-409C-BE32-E72D297353CC}">
              <c16:uniqueId val="{00000005-35F9-4C0C-92FD-2A9E4DEA93C2}"/>
            </c:ext>
          </c:extLst>
        </c:ser>
        <c:dLbls>
          <c:showLegendKey val="0"/>
          <c:showVal val="0"/>
          <c:showCatName val="0"/>
          <c:showSerName val="0"/>
          <c:showPercent val="0"/>
          <c:showBubbleSize val="0"/>
        </c:dLbls>
        <c:gapWidth val="182"/>
        <c:axId val="411120168"/>
        <c:axId val="411120496"/>
      </c:barChart>
      <c:catAx>
        <c:axId val="411120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1120496"/>
        <c:crosses val="autoZero"/>
        <c:auto val="1"/>
        <c:lblAlgn val="ctr"/>
        <c:lblOffset val="100"/>
        <c:noMultiLvlLbl val="0"/>
      </c:catAx>
      <c:valAx>
        <c:axId val="4111204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11120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Befizetett és bevallott idegenforgalmi adó havi megoszlása   2017-2021 években</a:t>
            </a:r>
          </a:p>
        </c:rich>
      </c:tx>
      <c:layout>
        <c:manualLayout>
          <c:xMode val="edge"/>
          <c:yMode val="edge"/>
          <c:x val="0.18990927764464222"/>
          <c:y val="0"/>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2017</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28415</c:v>
                </c:pt>
                <c:pt idx="1">
                  <c:v>35134</c:v>
                </c:pt>
                <c:pt idx="2">
                  <c:v>32296</c:v>
                </c:pt>
                <c:pt idx="3">
                  <c:v>41428</c:v>
                </c:pt>
                <c:pt idx="4">
                  <c:v>49831</c:v>
                </c:pt>
                <c:pt idx="5">
                  <c:v>52095</c:v>
                </c:pt>
                <c:pt idx="6">
                  <c:v>58617</c:v>
                </c:pt>
                <c:pt idx="7">
                  <c:v>69323</c:v>
                </c:pt>
                <c:pt idx="8">
                  <c:v>71800</c:v>
                </c:pt>
                <c:pt idx="9">
                  <c:v>61936</c:v>
                </c:pt>
                <c:pt idx="10">
                  <c:v>54969</c:v>
                </c:pt>
                <c:pt idx="11">
                  <c:v>44654</c:v>
                </c:pt>
              </c:numCache>
            </c:numRef>
          </c:val>
          <c:extLst>
            <c:ext xmlns:c16="http://schemas.microsoft.com/office/drawing/2014/chart" uri="{C3380CC4-5D6E-409C-BE32-E72D297353CC}">
              <c16:uniqueId val="{00000000-20C0-4FC2-BF3D-62C72672B590}"/>
            </c:ext>
          </c:extLst>
        </c:ser>
        <c:ser>
          <c:idx val="1"/>
          <c:order val="1"/>
          <c:tx>
            <c:strRef>
              <c:f>befizetések!$A$6</c:f>
              <c:strCache>
                <c:ptCount val="1"/>
                <c:pt idx="0">
                  <c:v>2018</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34853</c:v>
                </c:pt>
                <c:pt idx="1">
                  <c:v>35728</c:v>
                </c:pt>
                <c:pt idx="2">
                  <c:v>32178</c:v>
                </c:pt>
                <c:pt idx="3">
                  <c:v>43426</c:v>
                </c:pt>
                <c:pt idx="4">
                  <c:v>46518</c:v>
                </c:pt>
                <c:pt idx="5">
                  <c:v>56074</c:v>
                </c:pt>
                <c:pt idx="6">
                  <c:v>56690</c:v>
                </c:pt>
                <c:pt idx="7">
                  <c:v>71260</c:v>
                </c:pt>
                <c:pt idx="8">
                  <c:v>74484</c:v>
                </c:pt>
                <c:pt idx="9">
                  <c:v>61039</c:v>
                </c:pt>
                <c:pt idx="10">
                  <c:v>53945</c:v>
                </c:pt>
                <c:pt idx="11">
                  <c:v>45174</c:v>
                </c:pt>
              </c:numCache>
            </c:numRef>
          </c:val>
          <c:extLst>
            <c:ext xmlns:c16="http://schemas.microsoft.com/office/drawing/2014/chart" uri="{C3380CC4-5D6E-409C-BE32-E72D297353CC}">
              <c16:uniqueId val="{00000001-20C0-4FC2-BF3D-62C72672B590}"/>
            </c:ext>
          </c:extLst>
        </c:ser>
        <c:ser>
          <c:idx val="2"/>
          <c:order val="2"/>
          <c:tx>
            <c:strRef>
              <c:f>befizetések!$A$7</c:f>
              <c:strCache>
                <c:ptCount val="1"/>
                <c:pt idx="0">
                  <c:v>2019</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34999</c:v>
                </c:pt>
                <c:pt idx="1">
                  <c:v>33396</c:v>
                </c:pt>
                <c:pt idx="2">
                  <c:v>34856</c:v>
                </c:pt>
                <c:pt idx="3">
                  <c:v>44417</c:v>
                </c:pt>
                <c:pt idx="4">
                  <c:v>51680</c:v>
                </c:pt>
                <c:pt idx="5">
                  <c:v>57693</c:v>
                </c:pt>
                <c:pt idx="6">
                  <c:v>57779</c:v>
                </c:pt>
                <c:pt idx="7">
                  <c:v>72108</c:v>
                </c:pt>
                <c:pt idx="8">
                  <c:v>78982</c:v>
                </c:pt>
                <c:pt idx="9">
                  <c:v>63540</c:v>
                </c:pt>
                <c:pt idx="10">
                  <c:v>57532</c:v>
                </c:pt>
                <c:pt idx="11">
                  <c:v>46990</c:v>
                </c:pt>
              </c:numCache>
            </c:numRef>
          </c:val>
          <c:extLst>
            <c:ext xmlns:c16="http://schemas.microsoft.com/office/drawing/2014/chart" uri="{C3380CC4-5D6E-409C-BE32-E72D297353CC}">
              <c16:uniqueId val="{00000002-20C0-4FC2-BF3D-62C72672B590}"/>
            </c:ext>
          </c:extLst>
        </c:ser>
        <c:ser>
          <c:idx val="3"/>
          <c:order val="3"/>
          <c:tx>
            <c:strRef>
              <c:f>befizetések!$A$8</c:f>
              <c:strCache>
                <c:ptCount val="1"/>
                <c:pt idx="0">
                  <c:v>2020</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34237</c:v>
                </c:pt>
                <c:pt idx="1">
                  <c:v>35825</c:v>
                </c:pt>
                <c:pt idx="2">
                  <c:v>34855</c:v>
                </c:pt>
                <c:pt idx="3">
                  <c:v>13630</c:v>
                </c:pt>
                <c:pt idx="4">
                  <c:v>1675</c:v>
                </c:pt>
                <c:pt idx="5">
                  <c:v>3406</c:v>
                </c:pt>
                <c:pt idx="6">
                  <c:v>19307</c:v>
                </c:pt>
                <c:pt idx="7">
                  <c:v>53583</c:v>
                </c:pt>
                <c:pt idx="8">
                  <c:v>74285</c:v>
                </c:pt>
                <c:pt idx="9">
                  <c:v>24915</c:v>
                </c:pt>
                <c:pt idx="10">
                  <c:v>16841</c:v>
                </c:pt>
                <c:pt idx="11">
                  <c:v>4228</c:v>
                </c:pt>
              </c:numCache>
            </c:numRef>
          </c:val>
          <c:extLst>
            <c:ext xmlns:c16="http://schemas.microsoft.com/office/drawing/2014/chart" uri="{C3380CC4-5D6E-409C-BE32-E72D297353CC}">
              <c16:uniqueId val="{00000003-20C0-4FC2-BF3D-62C72672B590}"/>
            </c:ext>
          </c:extLst>
        </c:ser>
        <c:ser>
          <c:idx val="4"/>
          <c:order val="4"/>
          <c:tx>
            <c:strRef>
              <c:f>befizetések!$A$9</c:f>
              <c:strCache>
                <c:ptCount val="1"/>
                <c:pt idx="0">
                  <c:v>2021</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262</c:v>
                </c:pt>
                <c:pt idx="1">
                  <c:v>948</c:v>
                </c:pt>
                <c:pt idx="2">
                  <c:v>309</c:v>
                </c:pt>
                <c:pt idx="3">
                  <c:v>43</c:v>
                </c:pt>
                <c:pt idx="4">
                  <c:v>2631</c:v>
                </c:pt>
                <c:pt idx="5">
                  <c:v>334</c:v>
                </c:pt>
                <c:pt idx="6">
                  <c:v>137</c:v>
                </c:pt>
                <c:pt idx="7">
                  <c:v>56998</c:v>
                </c:pt>
                <c:pt idx="8">
                  <c:v>76065</c:v>
                </c:pt>
                <c:pt idx="9">
                  <c:v>56283</c:v>
                </c:pt>
                <c:pt idx="10">
                  <c:v>45855</c:v>
                </c:pt>
                <c:pt idx="11">
                  <c:v>31553</c:v>
                </c:pt>
              </c:numCache>
            </c:numRef>
          </c:val>
          <c:extLst>
            <c:ext xmlns:c16="http://schemas.microsoft.com/office/drawing/2014/chart" uri="{C3380CC4-5D6E-409C-BE32-E72D297353CC}">
              <c16:uniqueId val="{00000004-20C0-4FC2-BF3D-62C72672B590}"/>
            </c:ext>
          </c:extLst>
        </c:ser>
        <c:dLbls>
          <c:showLegendKey val="0"/>
          <c:showVal val="0"/>
          <c:showCatName val="0"/>
          <c:showSerName val="0"/>
          <c:showPercent val="0"/>
          <c:showBubbleSize val="0"/>
        </c:dLbls>
        <c:gapWidth val="219"/>
        <c:overlap val="-27"/>
        <c:axId val="445131672"/>
        <c:axId val="1"/>
      </c:barChart>
      <c:catAx>
        <c:axId val="445131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445131672"/>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Idegenforgalmi adó befizetések és bevallások alapján számított vendégéjszakák száma </a:t>
            </a:r>
          </a:p>
          <a:p>
            <a:pP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2017-2021.  években</a:t>
            </a:r>
          </a:p>
        </c:rich>
      </c:tx>
      <c:overlay val="0"/>
      <c:spPr>
        <a:noFill/>
        <a:ln w="25400">
          <a:noFill/>
        </a:ln>
      </c:spPr>
    </c:title>
    <c:autoTitleDeleted val="0"/>
    <c:plotArea>
      <c:layout/>
      <c:barChart>
        <c:barDir val="col"/>
        <c:grouping val="clustered"/>
        <c:varyColors val="0"/>
        <c:ser>
          <c:idx val="0"/>
          <c:order val="0"/>
          <c:spPr>
            <a:solidFill>
              <a:srgbClr val="5B9BD5"/>
            </a:solidFill>
            <a:ln w="25400">
              <a:noFill/>
            </a:ln>
          </c:spPr>
          <c:invertIfNegative val="0"/>
          <c:cat>
            <c:numRef>
              <c:f>Munka1!$A$48:$A$52</c:f>
              <c:numCache>
                <c:formatCode>General</c:formatCode>
                <c:ptCount val="5"/>
                <c:pt idx="0">
                  <c:v>2017</c:v>
                </c:pt>
                <c:pt idx="1">
                  <c:v>2018</c:v>
                </c:pt>
                <c:pt idx="2">
                  <c:v>2019</c:v>
                </c:pt>
                <c:pt idx="3">
                  <c:v>2020</c:v>
                </c:pt>
                <c:pt idx="4">
                  <c:v>2021</c:v>
                </c:pt>
              </c:numCache>
            </c:numRef>
          </c:cat>
          <c:val>
            <c:numRef>
              <c:f>Munka1!$B$48:$B$52</c:f>
              <c:numCache>
                <c:formatCode>_-* #\ ##0\ _F_t_-;\-* #\ ##0\ _F_t_-;_-* "-"??\ _F_t_-;_-@_-</c:formatCode>
                <c:ptCount val="5"/>
                <c:pt idx="0">
                  <c:v>1200996</c:v>
                </c:pt>
                <c:pt idx="1">
                  <c:v>1222738</c:v>
                </c:pt>
                <c:pt idx="2">
                  <c:v>1233055</c:v>
                </c:pt>
                <c:pt idx="3">
                  <c:v>597711</c:v>
                </c:pt>
                <c:pt idx="4">
                  <c:v>512109</c:v>
                </c:pt>
              </c:numCache>
            </c:numRef>
          </c:val>
          <c:extLst>
            <c:ext xmlns:c16="http://schemas.microsoft.com/office/drawing/2014/chart" uri="{C3380CC4-5D6E-409C-BE32-E72D297353CC}">
              <c16:uniqueId val="{00000000-3708-4C54-85C2-0E12FEA308F0}"/>
            </c:ext>
          </c:extLst>
        </c:ser>
        <c:dLbls>
          <c:showLegendKey val="0"/>
          <c:showVal val="0"/>
          <c:showCatName val="0"/>
          <c:showSerName val="0"/>
          <c:showPercent val="0"/>
          <c:showBubbleSize val="0"/>
        </c:dLbls>
        <c:gapWidth val="219"/>
        <c:overlap val="-27"/>
        <c:axId val="445101168"/>
        <c:axId val="1"/>
      </c:barChart>
      <c:catAx>
        <c:axId val="445101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_-* #\ ##0\ _F_t_-;\-* #\ ##0\ _F_t_-;_-* &quot;-&quot;??\ _F_t_-;_-@_-"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4451011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191FC-9169-4630-B292-6EB1C3B17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4850</Words>
  <Characters>33467</Characters>
  <Application>Microsoft Office Word</Application>
  <DocSecurity>0</DocSecurity>
  <Lines>278</Lines>
  <Paragraphs>76</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3</cp:revision>
  <cp:lastPrinted>2022-03-24T12:44:00Z</cp:lastPrinted>
  <dcterms:created xsi:type="dcterms:W3CDTF">2022-03-24T12:44:00Z</dcterms:created>
  <dcterms:modified xsi:type="dcterms:W3CDTF">2022-03-24T12:48:00Z</dcterms:modified>
</cp:coreProperties>
</file>